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584ec47ff64bd7" /></Relationships>
</file>

<file path=word/document.xml><?xml version="1.0" encoding="utf-8"?>
<w:document xmlns:r="http://schemas.openxmlformats.org/officeDocument/2006/relationships" xmlns:w="http://schemas.openxmlformats.org/wordprocessingml/2006/main">
  <w:body>
    <w:p>
      <w:pPr>
        <w:pStyle w:val="Title"/>
      </w:pPr>
      <w:r>
        <w:t>Diagnosis cluster identifier code 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cluster identifier code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767923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962bff500f4027">
              <w:r>
                <w:rPr>
                  <w:rStyle w:val="Hyperlink"/>
                  <w:color w:val="244061"/>
                </w:rPr>
                <w:t xml:space="preserve">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relationship of conditions relative to other conditions within an episode of admitted patient care through the use of diagnosis clustering.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clustered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A-ZZ (DCID A-ZZ) Diagnosis cluster identifier</w:t>
            </w:r>
          </w:p>
          <w:p>
            <w:pPr>
              <w:spacing w:after="160"/>
            </w:pPr>
            <w:r>
              <w:rPr>
                <w:rStyle w:val="row-content-rich-text"/>
              </w:rPr>
              <w:t xml:space="preserve">Where a diagnosis cluster is identified, the first diagnosis cluster identifier code (DCID) value assigned should be A. Record the same DCID value against each ICD-10-AM code in the diagnosis cluster (eg. injuries, procedural complications, and adverse effects) together with their associated external cause, place of occurrence codes and activity type codes.</w:t>
            </w:r>
          </w:p>
          <w:p>
            <w:pPr>
              <w:spacing w:after="160"/>
            </w:pPr>
            <w:r>
              <w:rPr>
                <w:rStyle w:val="row-content-rich-text"/>
              </w:rPr>
              <w:t xml:space="preserve">Subsequent clusters in the same episode of care should proceed to be allocated the next sequential alphabetic letter (i.e. B, C, D, etc through to Z, and then AA, AB through to ZZ if required).</w:t>
            </w:r>
          </w:p>
          <w:p>
            <w:pPr>
              <w:spacing w:after="160"/>
            </w:pPr>
            <w:r>
              <w:rPr>
                <w:rStyle w:val="row-content-rich-text"/>
              </w:rPr>
              <w:t xml:space="preserve">CODE 0 (DCID 0) Chronic condition cluster</w:t>
            </w:r>
          </w:p>
          <w:p>
            <w:pPr>
              <w:spacing w:after="160"/>
            </w:pPr>
            <w:r>
              <w:rPr>
                <w:rStyle w:val="row-content-rich-text"/>
              </w:rPr>
              <w:t xml:space="preserve">This DCID represents a chronic condition assigned in accordance with ACS 0003 </w:t>
            </w:r>
            <w:r>
              <w:rPr>
                <w:rStyle w:val="row-content-rich-text"/>
                <w:i/>
              </w:rPr>
              <w:t xml:space="preserve">Supplementary codes for chronic conditions</w:t>
            </w:r>
            <w:r>
              <w:rPr>
                <w:rStyle w:val="row-content-rich-text"/>
              </w:rPr>
              <w:t xml:space="preserve">.</w:t>
            </w:r>
          </w:p>
          <w:p>
            <w:pPr>
              <w:spacing w:after="160"/>
            </w:pPr>
            <w:r>
              <w:rPr>
                <w:rStyle w:val="row-content-rich-text"/>
              </w:rPr>
              <w:t xml:space="preserve">CODE 1-7 (DCID 1-7) Reserved values</w:t>
            </w:r>
          </w:p>
          <w:p>
            <w:pPr>
              <w:spacing w:after="160"/>
            </w:pPr>
            <w:r>
              <w:rPr>
                <w:rStyle w:val="row-content-rich-text"/>
              </w:rPr>
              <w:t xml:space="preserve">These DCID values are reserved and may only be used upon instruction from the Independent Health and Aged Care Pricing Authority.</w:t>
            </w:r>
          </w:p>
          <w:p>
            <w:pPr>
              <w:spacing w:after="160"/>
            </w:pPr>
            <w:r>
              <w:rPr>
                <w:rStyle w:val="row-content-rich-text"/>
              </w:rPr>
              <w:t xml:space="preserve">CODE 8 (DCID 8) Not clustered</w:t>
            </w:r>
          </w:p>
          <w:p>
            <w:pPr>
              <w:spacing w:after="160"/>
            </w:pPr>
            <w:r>
              <w:rPr>
                <w:rStyle w:val="row-content-rich-text"/>
              </w:rPr>
              <w:t xml:space="preserve">This DCID represents an ICD-10-AM code that has not been assigned to a diagnosis cluster or chronic condition cluster.</w:t>
            </w:r>
          </w:p>
          <w:p>
            <w:pPr>
              <w:spacing w:after="160"/>
            </w:pPr>
            <w:r>
              <w:rPr>
                <w:rStyle w:val="row-content-rich-text"/>
              </w:rPr>
              <w:t xml:space="preserve">CODE 9 (DCID 9) Not reported</w:t>
            </w:r>
          </w:p>
          <w:p>
            <w:pPr>
              <w:spacing w:after="160"/>
            </w:pPr>
            <w:r>
              <w:rPr>
                <w:rStyle w:val="row-content-rich-text"/>
              </w:rPr>
              <w:t xml:space="preserve">The DCID could not be reported due to limitations of the data management system. This value should be used for reporting when a health service is not supplying DCID values A-ZZ, 0-8.</w:t>
            </w:r>
          </w:p>
          <w:p>
            <w:pPr>
              <w:spacing w:after="160"/>
            </w:pPr>
            <w:r>
              <w:rPr>
                <w:rStyle w:val="row-content-rich-text"/>
                <w:b/>
              </w:rPr>
              <w:t xml:space="preserve">APPLICATION OF CLUSTER IDENTIFIERS</w:t>
            </w:r>
          </w:p>
          <w:p>
            <w:pPr>
              <w:spacing w:after="160"/>
            </w:pPr>
            <w:r>
              <w:rPr>
                <w:rStyle w:val="row-content-rich-text"/>
              </w:rPr>
              <w:t xml:space="preserve">The example below demonstrates application of cluster coding:</w:t>
            </w:r>
          </w:p>
          <w:p>
            <w:pPr>
              <w:spacing w:after="160"/>
            </w:pPr>
            <w:r>
              <w:rPr>
                <w:rStyle w:val="row-content-rich-text"/>
              </w:rPr>
              <w:t xml:space="preserve">Patient was admitted with acute exacerbation of chronic obstructive pulmonary disease. During the episode of care, they experienced a fall after losing their balance while walking to the shower and fractured one rib. The patient was also a current smoker. The patient had underlying chronic conditions including hypertension and osteoarthritis that met the guidelines in ACS 0003.            </w:t>
            </w:r>
          </w:p>
          <w:tbl>
            <w:tblPr>
              <w:tblStyle w:val="TableGrid"/>
              <w:tblW w:w="5000" w:type="pct"/>
              <w:tblLayout w:type="autofit"/>
            </w:tblPr>
            <w:tblGrid>
              <w:gridCol/>
              <w:gridCol/>
              <w:gridCol/>
            </w:tblGrid>
            <w:tr>
              <w:trPr/>
              <w:tc>
                <w:tcPr>
                  <w:tcW w:w="400" w:type="pct"/>
                  <w:vAlign w:val="top"/>
                </w:tcPr>
                <w:p>
                  <w:pPr/>
                  <w:r>
                    <w:rPr>
                      <w:rStyle w:val="row-content-rich-text"/>
                      <w:b/>
                    </w:rPr>
                    <w:t xml:space="preserve">DCID</w:t>
                  </w:r>
                </w:p>
              </w:tc>
              <w:tc>
                <w:tcPr>
                  <w:tcW w:w="2050" w:type="pct"/>
                  <w:vAlign w:val="top"/>
                </w:tcPr>
                <w:p>
                  <w:r>
                    <w:rPr>
                      <w:b/>
                    </w:rPr>
                    <w:t xml:space="preserve">ICD-10-AM code</w:t>
                  </w:r>
                </w:p>
              </w:tc>
              <w:tc>
                <w:tcPr>
                  <w:tcW w:w="2500" w:type="pct"/>
                  <w:vAlign w:val="top"/>
                </w:tcPr>
                <w:p>
                  <w:r>
                    <w:rPr>
                      <w:b/>
                    </w:rPr>
                    <w:t xml:space="preserve">ICD-10-AM code description</w:t>
                  </w:r>
                </w:p>
              </w:tc>
            </w:tr>
            <w:tr>
              <w:trPr/>
              <w:tc>
                <w:tcPr>
                  <w:tcW w:w="400" w:type="pct"/>
                  <w:vAlign w:val="top"/>
                </w:tcPr>
                <w:p>
                  <w:r>
                    <w:t xml:space="preserve">8</w:t>
                  </w:r>
                </w:p>
              </w:tc>
              <w:tc>
                <w:tcPr>
                  <w:tcW w:w="2050" w:type="pct"/>
                  <w:vAlign w:val="top"/>
                </w:tcPr>
                <w:p>
                  <w:r>
                    <w:t xml:space="preserve">J44.1</w:t>
                  </w:r>
                </w:p>
              </w:tc>
              <w:tc>
                <w:tcPr>
                  <w:tcW w:w="2500" w:type="pct"/>
                  <w:vAlign w:val="top"/>
                </w:tcPr>
                <w:p>
                  <w:r>
                    <w:t xml:space="preserve">Chronic obstructive pulmonary disease with acute exacerbation, unspecified</w:t>
                  </w:r>
                </w:p>
              </w:tc>
            </w:tr>
            <w:tr>
              <w:trPr/>
              <w:tc>
                <w:tcPr>
                  <w:tcW w:w="400" w:type="pct"/>
                  <w:vAlign w:val="top"/>
                </w:tcPr>
                <w:p>
                  <w:r>
                    <w:t xml:space="preserve">A</w:t>
                  </w:r>
                </w:p>
              </w:tc>
              <w:tc>
                <w:tcPr>
                  <w:tcW w:w="2050" w:type="pct"/>
                  <w:vAlign w:val="top"/>
                </w:tcPr>
                <w:p>
                  <w:r>
                    <w:t xml:space="preserve">S22.32</w:t>
                  </w:r>
                </w:p>
              </w:tc>
              <w:tc>
                <w:tcPr>
                  <w:tcW w:w="2500" w:type="pct"/>
                  <w:vAlign w:val="top"/>
                </w:tcPr>
                <w:p>
                  <w:r>
                    <w:t xml:space="preserve">Fracture of one rib, other than first</w:t>
                  </w:r>
                </w:p>
              </w:tc>
            </w:tr>
            <w:tr>
              <w:trPr/>
              <w:tc>
                <w:tcPr>
                  <w:tcW w:w="400" w:type="pct"/>
                  <w:vAlign w:val="top"/>
                </w:tcPr>
                <w:p>
                  <w:r>
                    <w:t xml:space="preserve">A</w:t>
                  </w:r>
                </w:p>
              </w:tc>
              <w:tc>
                <w:tcPr>
                  <w:tcW w:w="2050" w:type="pct"/>
                  <w:vAlign w:val="top"/>
                </w:tcPr>
                <w:p>
                  <w:r>
                    <w:t xml:space="preserve">U73.2</w:t>
                  </w:r>
                </w:p>
              </w:tc>
              <w:tc>
                <w:tcPr>
                  <w:tcW w:w="2500" w:type="pct"/>
                  <w:vAlign w:val="top"/>
                </w:tcPr>
                <w:p>
                  <w:r>
                    <w:t xml:space="preserve">While resting, sleeping, eating or engaging in other vital activities</w:t>
                  </w:r>
                </w:p>
              </w:tc>
            </w:tr>
            <w:tr>
              <w:trPr/>
              <w:tc>
                <w:tcPr>
                  <w:tcW w:w="400" w:type="pct"/>
                  <w:vAlign w:val="top"/>
                </w:tcPr>
                <w:p>
                  <w:r>
                    <w:t xml:space="preserve">A</w:t>
                  </w:r>
                </w:p>
              </w:tc>
              <w:tc>
                <w:tcPr>
                  <w:tcW w:w="2050" w:type="pct"/>
                  <w:vAlign w:val="top"/>
                </w:tcPr>
                <w:p>
                  <w:r>
                    <w:t xml:space="preserve">W01.2</w:t>
                  </w:r>
                </w:p>
              </w:tc>
              <w:tc>
                <w:tcPr>
                  <w:tcW w:w="2500" w:type="pct"/>
                  <w:vAlign w:val="top"/>
                </w:tcPr>
                <w:p>
                  <w:r>
                    <w:t xml:space="preserve">Fall on same level from stumbling   </w:t>
                  </w:r>
                </w:p>
              </w:tc>
            </w:tr>
            <w:tr>
              <w:trPr/>
              <w:tc>
                <w:tcPr>
                  <w:tcW w:w="400" w:type="pct"/>
                  <w:vAlign w:val="top"/>
                </w:tcPr>
                <w:p>
                  <w:r>
                    <w:t xml:space="preserve">A</w:t>
                  </w:r>
                </w:p>
              </w:tc>
              <w:tc>
                <w:tcPr>
                  <w:tcW w:w="2050" w:type="pct"/>
                  <w:vAlign w:val="top"/>
                </w:tcPr>
                <w:p>
                  <w:r>
                    <w:t xml:space="preserve">Y92.24</w:t>
                  </w:r>
                </w:p>
              </w:tc>
              <w:tc>
                <w:tcPr>
                  <w:tcW w:w="2500" w:type="pct"/>
                  <w:vAlign w:val="top"/>
                </w:tcPr>
                <w:p>
                  <w:r>
                    <w:t xml:space="preserve">Place of occurrence, health service area, this facility</w:t>
                  </w:r>
                </w:p>
              </w:tc>
            </w:tr>
            <w:tr>
              <w:trPr/>
              <w:tc>
                <w:tcPr>
                  <w:tcW w:w="400" w:type="pct"/>
                  <w:vAlign w:val="top"/>
                </w:tcPr>
                <w:p>
                  <w:r>
                    <w:t xml:space="preserve">8</w:t>
                  </w:r>
                </w:p>
              </w:tc>
              <w:tc>
                <w:tcPr>
                  <w:tcW w:w="2050" w:type="pct"/>
                  <w:vAlign w:val="top"/>
                </w:tcPr>
                <w:p>
                  <w:r>
                    <w:t xml:space="preserve">Z72.0</w:t>
                  </w:r>
                </w:p>
              </w:tc>
              <w:tc>
                <w:tcPr>
                  <w:tcW w:w="2500" w:type="pct"/>
                  <w:vAlign w:val="top"/>
                </w:tcPr>
                <w:p>
                  <w:r>
                    <w:t xml:space="preserve">Tobacco use, current</w:t>
                  </w:r>
                </w:p>
              </w:tc>
            </w:tr>
            <w:tr>
              <w:trPr/>
              <w:tc>
                <w:tcPr>
                  <w:tcW w:w="400" w:type="pct"/>
                  <w:vAlign w:val="top"/>
                </w:tcPr>
                <w:p>
                  <w:r>
                    <w:t xml:space="preserve">0</w:t>
                  </w:r>
                </w:p>
              </w:tc>
              <w:tc>
                <w:tcPr>
                  <w:tcW w:w="2050" w:type="pct"/>
                  <w:vAlign w:val="top"/>
                </w:tcPr>
                <w:p>
                  <w:r>
                    <w:t xml:space="preserve">U82.3</w:t>
                  </w:r>
                </w:p>
              </w:tc>
              <w:tc>
                <w:tcPr>
                  <w:tcW w:w="2500" w:type="pct"/>
                  <w:vAlign w:val="top"/>
                </w:tcPr>
                <w:p>
                  <w:r>
                    <w:t xml:space="preserve">Hypertension</w:t>
                  </w:r>
                </w:p>
              </w:tc>
            </w:tr>
            <w:tr>
              <w:trPr/>
              <w:tc>
                <w:tcPr>
                  <w:tcW w:w="400" w:type="pct"/>
                  <w:vAlign w:val="top"/>
                </w:tcPr>
                <w:p>
                  <w:r>
                    <w:t xml:space="preserve">0</w:t>
                  </w:r>
                </w:p>
              </w:tc>
              <w:tc>
                <w:tcPr>
                  <w:tcW w:w="2050" w:type="pct"/>
                  <w:vAlign w:val="top"/>
                </w:tcPr>
                <w:p>
                  <w:r>
                    <w:t xml:space="preserve">U86.2</w:t>
                  </w:r>
                </w:p>
              </w:tc>
              <w:tc>
                <w:tcPr>
                  <w:tcW w:w="2500" w:type="pct"/>
                  <w:vAlign w:val="top"/>
                </w:tcPr>
                <w:p>
                  <w:r>
                    <w:t xml:space="preserve">Arthritis and osteoarthritis [primary]</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DCID must be assigned against each International Statistical Classification of Diseases and Related Health Problems, Tenth Revision, Australian Modification (ICD-10-AM) code in an episode of admitted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312dac37f334e9e">
              <w:r>
                <w:rPr>
                  <w:rStyle w:val="Hyperlink"/>
                </w:rPr>
                <w:t xml:space="preserve">Episode of admitted patient care—diagnosis cluster identifier, code X[X]</w:t>
              </w:r>
            </w:hyperlink>
          </w:p>
          <w:p>
            <w:pPr>
              <w:spacing w:before="0" w:after="0"/>
            </w:pPr>
            <w:r>
              <w:rPr>
                <w:rStyle w:val="row-content"/>
                <w:color w:val="244061"/>
              </w:rPr>
              <w:t xml:space="preserve">       </w:t>
            </w:r>
            <w:hyperlink w:history="true" r:id="Rd0d7516ff9ff4f17">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de71d4affe5145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767923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ffe439edae44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71d4affe51452a" /><Relationship Type="http://schemas.openxmlformats.org/officeDocument/2006/relationships/header" Target="/word/header1.xml" Id="R6df6a20b1c7b4d50" /><Relationship Type="http://schemas.openxmlformats.org/officeDocument/2006/relationships/settings" Target="/word/settings.xml" Id="R6a47feaeec9e4769" /><Relationship Type="http://schemas.openxmlformats.org/officeDocument/2006/relationships/styles" Target="/word/styles.xml" Id="R62439dd3dcc44dc2" /><Relationship Type="http://schemas.openxmlformats.org/officeDocument/2006/relationships/hyperlink" Target="https://meteor.aihw.gov.au/RegistrationAuthority/12" TargetMode="External" Id="R76962bff500f4027" /><Relationship Type="http://schemas.openxmlformats.org/officeDocument/2006/relationships/hyperlink" Target="https://meteor.aihw.gov.au/content/767931" TargetMode="External" Id="Rb312dac37f334e9e" /><Relationship Type="http://schemas.openxmlformats.org/officeDocument/2006/relationships/hyperlink" Target="https://meteor.aihw.gov.au/RegistrationAuthority/12" TargetMode="External" Id="Rd0d7516ff9ff4f17" /></Relationships>
</file>

<file path=word/_rels/header1.xml.rels>&#65279;<?xml version="1.0" encoding="utf-8"?><Relationships xmlns="http://schemas.openxmlformats.org/package/2006/relationships"><Relationship Type="http://schemas.openxmlformats.org/officeDocument/2006/relationships/image" Target="/media/image.png" Id="R4bffe439edae44a4" /></Relationships>
</file>