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42a963faa4dda"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5a- Evidence of local arrangements to enable timely assessment and appropriate care for women presenting with concerns about changes in fetal movements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5a- Evidence of local arrangements to enable timely assessment and appropriate care for women presenting with concerns about changes in fetal movements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5a-Evidence of local arrangements to enable timely assessment and appropriate care for women presenting with concerns about changes in fetal movements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45bac633846f7">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enable timely assessment and appropriate care for women presenting with concerns about changes in fetal movements.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882129598c499d">
              <w:r>
                <w:rPr>
                  <w:rStyle w:val="Hyperlink"/>
                </w:rPr>
                <w:t xml:space="preserve">Stillbirth Clinical Care Standard </w:t>
              </w:r>
            </w:hyperlink>
          </w:p>
          <w:p>
            <w:pPr>
              <w:spacing w:before="0" w:after="0"/>
            </w:pPr>
            <w:r>
              <w:rPr>
                <w:rStyle w:val="row-content"/>
                <w:color w:val="244061"/>
              </w:rPr>
              <w:t xml:space="preserve">       </w:t>
            </w:r>
            <w:hyperlink w:history="true" r:id="R4897262a05cd4002">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include the:</w:t>
            </w:r>
          </w:p>
          <w:p>
            <w:pPr>
              <w:pStyle w:val="ListParagraph"/>
              <w:numPr>
                <w:ilvl w:val="0"/>
                <w:numId w:val="2"/>
              </w:numPr>
            </w:pPr>
            <w:r>
              <w:rPr>
                <w:rStyle w:val="row-content-rich-text"/>
              </w:rPr>
              <w:t xml:space="preserve">Locally approved fetal movement care pathway</w:t>
            </w:r>
          </w:p>
          <w:p>
            <w:pPr>
              <w:pStyle w:val="ListParagraph"/>
              <w:numPr>
                <w:ilvl w:val="0"/>
                <w:numId w:val="2"/>
              </w:numPr>
            </w:pPr>
            <w:r>
              <w:rPr>
                <w:rStyle w:val="row-content-rich-text"/>
              </w:rPr>
              <w:t xml:space="preserve">Fetal monitoring and assessment protocol, with timelines and a process to access urgent clinical expertise if fetal heart tone is difficult to determine</w:t>
            </w:r>
          </w:p>
          <w:p>
            <w:pPr>
              <w:pStyle w:val="ListParagraph"/>
              <w:numPr>
                <w:ilvl w:val="0"/>
                <w:numId w:val="2"/>
              </w:numPr>
            </w:pPr>
            <w:r>
              <w:rPr>
                <w:rStyle w:val="row-content-rich-text"/>
              </w:rPr>
              <w:t xml:space="preserve">Guidance and communication protocols for clinicians who may identify a fetal death, consistent with the </w:t>
            </w:r>
            <w:r>
              <w:rPr>
                <w:rStyle w:val="row-content-rich-text"/>
                <w:i/>
              </w:rPr>
              <w:t xml:space="preserve">Parent-Centred Communication in Obstetric Ultrasound Guidelines</w:t>
            </w:r>
          </w:p>
          <w:p>
            <w:pPr>
              <w:pStyle w:val="ListParagraph"/>
              <w:numPr>
                <w:ilvl w:val="0"/>
                <w:numId w:val="2"/>
              </w:numPr>
            </w:pPr>
            <w:r>
              <w:rPr>
                <w:rStyle w:val="row-content-rich-text"/>
              </w:rPr>
              <w:t xml:space="preserve">Process to provide appropriate care for women if fetal death has been confirmed, in line with the </w:t>
            </w:r>
            <w:r>
              <w:rPr>
                <w:rStyle w:val="row-content-rich-text"/>
                <w:i/>
              </w:rPr>
              <w:t xml:space="preserve">Clinical Practice Guideline for Care Around Stillbirth and Neonatal Death</w:t>
            </w:r>
          </w:p>
          <w:p>
            <w:pPr>
              <w:pStyle w:val="ListParagraph"/>
              <w:numPr>
                <w:ilvl w:val="0"/>
                <w:numId w:val="2"/>
              </w:numPr>
            </w:pPr>
            <w:r>
              <w:rPr>
                <w:rStyle w:val="row-content-rich-text"/>
              </w:rPr>
              <w:t xml:space="preserve">Process to ensure clinicians are trained and competent in the fetal movement care pathway</w:t>
            </w:r>
          </w:p>
          <w:p>
            <w:pPr>
              <w:pStyle w:val="ListParagraph"/>
              <w:numPr>
                <w:ilvl w:val="0"/>
                <w:numId w:val="2"/>
              </w:numPr>
            </w:pPr>
            <w:r>
              <w:rPr>
                <w:rStyle w:val="row-content-rich-text"/>
              </w:rPr>
              <w:t xml:space="preserve">Governance process to oversee implementation of the local arrangements and evaluate their effectiveness.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local arrangements that are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Hospitals where maternity care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spacing w:after="160"/>
            </w:pPr>
            <w:r>
              <w:rPr>
                <w:rStyle w:val="row-content-rich-text"/>
              </w:rPr>
              <w:t xml:space="preserve">Australasian Society for Ultrasound in Medicine. Parent-centred communication in obstetric ultrasound. Sydney: ASUM; 2022.</w:t>
            </w:r>
          </w:p>
          <w:p>
            <w:pPr/>
            <w:r>
              <w:rPr>
                <w:rStyle w:val="row-content-rich-text"/>
              </w:rPr>
              <w:t xml:space="preserve">Flenady V, Oats J, Gardener G, Masson V, McCowan L, Kent A, et al. Clinical Practice Guideline for Care Around Stillbirth and Neonatal Death. Brisbane: NHMRC Centre of Research Excellence in Stillbirth; 2020.</w:t>
            </w:r>
          </w:p>
        </w:tc>
      </w:tr>
    </w:tbl>
    <w:p>
      <w:r>
        <w:br/>
      </w:r>
    </w:p>
    <w:sectPr>
      <w:footerReference xmlns:r="http://schemas.openxmlformats.org/officeDocument/2006/relationships" w:type="default" r:id="Re8003ad23838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766719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9ce1afd8d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03ad238384fcd" /><Relationship Type="http://schemas.openxmlformats.org/officeDocument/2006/relationships/header" Target="/word/header1.xml" Id="R29cb5a4c77d44600" /><Relationship Type="http://schemas.openxmlformats.org/officeDocument/2006/relationships/settings" Target="/word/settings.xml" Id="Rb3c1b5bb12d2467a" /><Relationship Type="http://schemas.openxmlformats.org/officeDocument/2006/relationships/styles" Target="/word/styles.xml" Id="R7669913bd2ea498f" /><Relationship Type="http://schemas.openxmlformats.org/officeDocument/2006/relationships/hyperlink" Target="https://meteor.aihw.gov.au/RegistrationAuthority/18" TargetMode="External" Id="R15e45bac633846f7" /><Relationship Type="http://schemas.openxmlformats.org/officeDocument/2006/relationships/hyperlink" Target="https://meteor.aihw.gov.au/content/766607" TargetMode="External" Id="Re0882129598c499d" /><Relationship Type="http://schemas.openxmlformats.org/officeDocument/2006/relationships/hyperlink" Target="https://meteor.aihw.gov.au/RegistrationAuthority/18" TargetMode="External" Id="R4897262a05cd4002" /><Relationship Type="http://schemas.openxmlformats.org/officeDocument/2006/relationships/numbering" Target="/word/numbering.xml" Id="R22846a5c3627404d" /></Relationships>
</file>

<file path=word/_rels/header1.xml.rels>&#65279;<?xml version="1.0" encoding="utf-8"?><Relationships xmlns="http://schemas.openxmlformats.org/package/2006/relationships"><Relationship Type="http://schemas.openxmlformats.org/officeDocument/2006/relationships/image" Target="/media/image.png" Id="Rff69ce1afd8d442f" /></Relationships>
</file>