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b15fb113c149b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3.4.4–Mortality due to suicide,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3.4.4–Mortality due to suicide,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3.4.4–Mortality due to suicide,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668372f3941c0">
              <w:r>
                <w:rPr>
                  <w:rStyle w:val="Hyperlink"/>
                  <w:color w:val="244061"/>
                </w:rPr>
                <w:t xml:space="preserve">Health</w:t>
              </w:r>
            </w:hyperlink>
            <w:r>
              <w:rPr>
                <w:rStyle w:val="row-content"/>
                <w:color w:val="244061"/>
              </w:rPr>
              <w:t xml:space="preserve">, Superseded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suicides per 100,000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Suicide is a leading cause of death among the general population, and people with mental illness are at even greater risk. Suicide rates are a commonly used global indicator of community mental health.</w:t>
            </w:r>
          </w:p>
          <w:p>
            <w:pPr>
              <w:pStyle w:val="ListParagraph"/>
              <w:numPr>
                <w:ilvl w:val="0"/>
                <w:numId w:val="2"/>
              </w:numPr>
            </w:pPr>
            <w:r>
              <w:rPr>
                <w:rStyle w:val="row-content-rich-text"/>
              </w:rPr>
              <w:t xml:space="preserve">All governments are committed to working together to achieve a decrease in the rate of suicide. Suicide prevention through access and maintained support is a key early intervention goal of current and future programs.</w:t>
            </w:r>
          </w:p>
          <w:p>
            <w:pPr>
              <w:pStyle w:val="ListParagraph"/>
              <w:numPr>
                <w:ilvl w:val="0"/>
                <w:numId w:val="2"/>
              </w:numPr>
            </w:pPr>
            <w:r>
              <w:rPr>
                <w:rStyle w:val="row-content-rich-text"/>
              </w:rPr>
              <w:t xml:space="preserve">Suicide is a complex problem that requires a whole of government response. Numerous factors, including age, gender, other health problems, social or geographic isolation and drug or alcohol problems, can influence an individual's risk of suicide. This complex interaction of biological, psychological and social factors can influence the outcomes of programs intended to reduce suicide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46b7a2e5cd4b94">
              <w:r>
                <w:rPr>
                  <w:rStyle w:val="Hyperlink"/>
                </w:rPr>
                <w:t xml:space="preserve">Australian Health Performance Framework, 2021</w:t>
              </w:r>
            </w:hyperlink>
          </w:p>
          <w:p>
            <w:pPr>
              <w:spacing w:before="0" w:after="0"/>
            </w:pPr>
            <w:r>
              <w:rPr>
                <w:rStyle w:val="row-content"/>
                <w:color w:val="244061"/>
              </w:rPr>
              <w:t xml:space="preserve">       </w:t>
            </w:r>
            <w:hyperlink w:history="true" r:id="R4efdd0fce08240b5">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registration of deaths in Australia is the responsibility of state and territory Registrars of Births, Deaths and Marriages. As part of the registration process, information about the cause of death is supplied by the medical practitioner certifying the death or by a coroner. The information is provided to the Australian Bureau of Statistics (ABS) by individual Registrars for coding and compilation into aggregate statistics. In addition, the ABS supplements this data with information from the National Coronial Information System (NCIS).</w:t>
            </w:r>
          </w:p>
          <w:p>
            <w:pPr/>
            <w:r>
              <w:rPr>
                <w:rStyle w:val="row-content-rich-text"/>
              </w:rPr>
              <w:t xml:space="preserve">Deaths that are referred to a coroner can take time to be fully investigated. To account for this, the ABS undertakes a revisions process for those deaths where coronial investigations remained open at the time an initial cause of death was assigned. Data are deemed preliminary when first published, revised when published the following year and final when published after a second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25b6c8cd8328411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Death by suicide is defined as ICD-10 codes X60–X84 and Y87.0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7f596ba4a49f4860">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p>
            <w:r>
              <w:rPr>
                <w:rStyle w:val="row-content"/>
                <w:b/>
                <w:color w:val="000000"/>
              </w:rPr>
              <w:t xml:space="preserve">Data Element / Data Set</w:t>
            </w:r>
          </w:p>
          <w:p>
            <w:hyperlink w:history="true" r:id="R3dbed18cb1dd4e13">
              <w:r>
                <w:rPr>
                  <w:rStyle w:val="Hyperlink"/>
                </w:rPr>
                <w:t xml:space="preserve">Person—estimated resident population of Australia, total people N[N(7)]</w:t>
              </w:r>
            </w:hyperlink>
          </w:p>
          <w:p>
            <w:r>
              <w:rPr>
                <w:rStyle w:val="row-content"/>
                <w:b/>
              </w:rPr>
              <w:t xml:space="preserve">Data Source</w:t>
            </w:r>
          </w:p>
          <w:p>
            <w:hyperlink w:history="true" r:id="Rd3edfb928d4b4732">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2019—Nationally, by sex.</w:t>
            </w:r>
          </w:p>
          <w:p>
            <w:pPr>
              <w:spacing w:after="160"/>
            </w:pPr>
            <w:r>
              <w:rPr>
                <w:rStyle w:val="row-content-rich-text"/>
              </w:rPr>
              <w:t xml:space="preserve">2008 to 2019—State and territory, by sex.</w:t>
            </w:r>
          </w:p>
          <w:p>
            <w:pPr>
              <w:spacing w:after="160"/>
            </w:pPr>
            <w:r>
              <w:rPr>
                <w:rStyle w:val="row-content-rich-text"/>
              </w:rPr>
              <w:t xml:space="preserve">2017 to 2019—Primary Health Network (PHN), by sex.</w:t>
            </w:r>
          </w:p>
          <w:p>
            <w:pPr>
              <w:spacing w:after="160"/>
            </w:pPr>
            <w:r>
              <w:rPr>
                <w:rStyle w:val="row-content-rich-text"/>
              </w:rPr>
              <w:t xml:space="preserve">2016 to 2019—Nationally by Indigenous status and sex.</w:t>
            </w:r>
          </w:p>
          <w:p>
            <w:pPr>
              <w:spacing w:after="160"/>
            </w:pPr>
            <w:r>
              <w:rPr>
                <w:rStyle w:val="row-content-rich-text"/>
              </w:rPr>
              <w:t xml:space="preserve">Some disaggregations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e0a9e532dc7b4e5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bcb9004c4f468b">
              <w:r>
                <w:rPr>
                  <w:rStyle w:val="Hyperlink"/>
                </w:rPr>
                <w:t xml:space="preserve">Person—Indigenous status, code N</w:t>
              </w:r>
            </w:hyperlink>
          </w:p>
          <w:p>
            <w:r>
              <w:rPr>
                <w:rStyle w:val="row-content"/>
                <w:b/>
              </w:rPr>
              <w:t xml:space="preserve">Data Source</w:t>
            </w:r>
          </w:p>
          <w:p>
            <w:hyperlink w:history="true" r:id="R42d86d22f43d44d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5affc469784e1d">
              <w:r>
                <w:rPr>
                  <w:rStyle w:val="Hyperlink"/>
                </w:rPr>
                <w:t xml:space="preserve">Person—area of usual residence, statistical area level 2 (SA2) code (ASGS 2016) N(9)</w:t>
              </w:r>
            </w:hyperlink>
          </w:p>
          <w:p>
            <w:r>
              <w:rPr>
                <w:rStyle w:val="row-content"/>
                <w:b/>
              </w:rPr>
              <w:t xml:space="preserve">Data Source</w:t>
            </w:r>
          </w:p>
          <w:p>
            <w:hyperlink w:history="true" r:id="R2965b635392b409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disaggregations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w:t>
            </w:r>
          </w:p>
          <w:p>
            <w:pPr>
              <w:pStyle w:val="ListParagraph"/>
              <w:numPr>
                <w:ilvl w:val="0"/>
                <w:numId w:val="3"/>
              </w:numPr>
            </w:pPr>
            <w:r>
              <w:rPr>
                <w:rStyle w:val="row-content-rich-text"/>
              </w:rPr>
              <w:t xml:space="preserve">2019</w:t>
            </w:r>
          </w:p>
          <w:p>
            <w:pPr>
              <w:pStyle w:val="ListParagraph"/>
              <w:numPr>
                <w:ilvl w:val="0"/>
                <w:numId w:val="3"/>
              </w:numPr>
            </w:pPr>
            <w:r>
              <w:rPr>
                <w:rStyle w:val="row-content-rich-text"/>
              </w:rPr>
              <w:t xml:space="preserve">Aggregated data 2016–2019 (Indigenous status)</w:t>
            </w:r>
          </w:p>
          <w:p>
            <w:pPr>
              <w:spacing w:after="160"/>
            </w:pPr>
            <w:r>
              <w:rPr>
                <w:rStyle w:val="row-content-rich-text"/>
              </w:rPr>
              <w:t xml:space="preserve">Deaths registered in 2017 and earlier are based on the final version of cause of death data; deaths registered in 2018 are based on the revised version; and deaths registered in 2019 and 2020 are based on the preliminary version. Revised and preliminary versions are subject to further revision by the Australian Bureau of Statistics (ABS).</w:t>
            </w:r>
          </w:p>
          <w:p>
            <w:pPr>
              <w:spacing w:after="160"/>
            </w:pPr>
            <w:r>
              <w:rPr>
                <w:rStyle w:val="row-content-rich-text"/>
              </w:rPr>
              <w:t xml:space="preserve">Since 2013, the ABS has applied a number of updates to the ICD-10 along with the implementation of the Iris Software for automated coding of causes of death data. Details of the impact of these changes on the mortality data are described in </w:t>
            </w:r>
            <w:hyperlink w:history="true" r:id="R0549eef08bef439e">
              <w:r>
                <w:rPr>
                  <w:rStyle w:val="Hyperlink"/>
                  <w:i/>
                </w:rPr>
                <w:t xml:space="preserve">ABS Implementation of the Iris Software: Understanding Coding and Process Improvements</w:t>
              </w:r>
            </w:hyperlink>
            <w:r>
              <w:rPr>
                <w:rStyle w:val="row-content-rich-text"/>
              </w:rPr>
              <w:t xml:space="preserve">. Prior to 2013, mortality data were coded using the ICD-10 2006 version; 2013-2017 data were coded using the ICD-10 2013 version; 2018 data were coded using the ICD-10 2016 version; 2019 and 2020 data were coded using the ICD-10 2019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c3126151114682">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c0edf1f9d04a96">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80097c2960a4ce5">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c7c5a56619643f6">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83ac8782534f45">
              <w:r>
                <w:rPr>
                  <w:rStyle w:val="Hyperlink"/>
                </w:rPr>
                <w:t xml:space="preserve">Australian Health Performance Framework: PI 3.4.4–Mortality due to suicide, 2020</w:t>
              </w:r>
            </w:hyperlink>
          </w:p>
          <w:p>
            <w:pPr>
              <w:spacing w:before="0" w:after="0"/>
            </w:pPr>
            <w:r>
              <w:rPr>
                <w:rStyle w:val="row-content"/>
                <w:color w:val="244061"/>
              </w:rPr>
              <w:t xml:space="preserve">       </w:t>
            </w:r>
            <w:hyperlink w:history="true" r:id="R02afb59322874c3d">
              <w:r>
                <w:rPr>
                  <w:rStyle w:val="Hyperlink"/>
                  <w:color w:val="244061"/>
                </w:rPr>
                <w:t xml:space="preserve">Health</w:t>
              </w:r>
            </w:hyperlink>
            <w:r>
              <w:rPr>
                <w:rStyle w:val="row-content"/>
                <w:color w:val="244061"/>
              </w:rPr>
              <w:t xml:space="preserve">, Superseded 11/07/2023</w:t>
            </w:r>
          </w:p>
          <w:p>
            <w:r>
              <w:br/>
            </w:r>
            <w:r>
              <w:rPr>
                <w:rStyle w:val="row-content"/>
              </w:rPr>
              <w:t xml:space="preserve">Has been superseded by </w:t>
            </w:r>
            <w:hyperlink w:history="true" r:id="R39c587807b5e46d9">
              <w:r>
                <w:rPr>
                  <w:rStyle w:val="Hyperlink"/>
                </w:rPr>
                <w:t xml:space="preserve">Australian Health Performance Framework: PI 3.4.4–Mortality due to suicide, 2024</w:t>
              </w:r>
            </w:hyperlink>
          </w:p>
          <w:p>
            <w:pPr>
              <w:spacing w:before="0" w:after="0"/>
            </w:pPr>
            <w:r>
              <w:rPr>
                <w:rStyle w:val="row-content"/>
                <w:color w:val="244061"/>
              </w:rPr>
              <w:t xml:space="preserve">       </w:t>
            </w:r>
            <w:hyperlink w:history="true" r:id="R940be2b8be984b9e">
              <w:r>
                <w:rPr>
                  <w:rStyle w:val="Hyperlink"/>
                  <w:color w:val="244061"/>
                </w:rPr>
                <w:t xml:space="preserve">Health</w:t>
              </w:r>
            </w:hyperlink>
            <w:r>
              <w:rPr>
                <w:rStyle w:val="row-content"/>
                <w:color w:val="244061"/>
              </w:rPr>
              <w:t xml:space="preserve">, Standard 02/02/2024</w:t>
            </w:r>
          </w:p>
          <w:p>
            <w:r>
              <w:br/>
            </w:r>
          </w:p>
        </w:tc>
      </w:tr>
    </w:tbl>
    <w:p>
      <w:r>
        <w:br/>
      </w:r>
    </w:p>
    <w:sectPr>
      <w:footerReference xmlns:r="http://schemas.openxmlformats.org/officeDocument/2006/relationships" w:type="default" r:id="R4a31a3d925974b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765866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5acb95a94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31a3d925974baa" /><Relationship Type="http://schemas.openxmlformats.org/officeDocument/2006/relationships/header" Target="/word/header1.xml" Id="R1797f8926f604a34" /><Relationship Type="http://schemas.openxmlformats.org/officeDocument/2006/relationships/settings" Target="/word/settings.xml" Id="R0546de50e9ae479d" /><Relationship Type="http://schemas.openxmlformats.org/officeDocument/2006/relationships/styles" Target="/word/styles.xml" Id="R8af07931f25744c3" /><Relationship Type="http://schemas.openxmlformats.org/officeDocument/2006/relationships/hyperlink" Target="https://meteor.aihw.gov.au/RegistrationAuthority/12" TargetMode="External" Id="R6b8668372f3941c0" /><Relationship Type="http://schemas.openxmlformats.org/officeDocument/2006/relationships/numbering" Target="/word/numbering.xml" Id="R36a4d2d1589d49be" /><Relationship Type="http://schemas.openxmlformats.org/officeDocument/2006/relationships/hyperlink" Target="https://meteor.aihw.gov.au/content/764926" TargetMode="External" Id="R8d46b7a2e5cd4b94" /><Relationship Type="http://schemas.openxmlformats.org/officeDocument/2006/relationships/hyperlink" Target="https://meteor.aihw.gov.au/RegistrationAuthority/12" TargetMode="External" Id="R4efdd0fce08240b5" /><Relationship Type="http://schemas.openxmlformats.org/officeDocument/2006/relationships/hyperlink" Target="https://meteor.aihw.gov.au/content/395084" TargetMode="External" Id="R25b6c8cd83284116" /><Relationship Type="http://schemas.openxmlformats.org/officeDocument/2006/relationships/hyperlink" Target="https://meteor.aihw.gov.au/content/719790" TargetMode="External" Id="R7f596ba4a49f4860" /><Relationship Type="http://schemas.openxmlformats.org/officeDocument/2006/relationships/hyperlink" Target="https://meteor.aihw.gov.au/content/388656" TargetMode="External" Id="R3dbed18cb1dd4e13" /><Relationship Type="http://schemas.openxmlformats.org/officeDocument/2006/relationships/hyperlink" Target="https://meteor.aihw.gov.au/content/704699" TargetMode="External" Id="Rd3edfb928d4b4732" /><Relationship Type="http://schemas.openxmlformats.org/officeDocument/2006/relationships/hyperlink" Target="https://meteor.aihw.gov.au/content/395084" TargetMode="External" Id="Re0a9e532dc7b4e55" /><Relationship Type="http://schemas.openxmlformats.org/officeDocument/2006/relationships/hyperlink" Target="https://meteor.aihw.gov.au/content/602543" TargetMode="External" Id="Rdbbcb9004c4f468b" /><Relationship Type="http://schemas.openxmlformats.org/officeDocument/2006/relationships/hyperlink" Target="https://meteor.aihw.gov.au/content/395084" TargetMode="External" Id="R42d86d22f43d44d2" /><Relationship Type="http://schemas.openxmlformats.org/officeDocument/2006/relationships/hyperlink" Target="https://meteor.aihw.gov.au/content/659725" TargetMode="External" Id="Rea5affc469784e1d" /><Relationship Type="http://schemas.openxmlformats.org/officeDocument/2006/relationships/hyperlink" Target="https://meteor.aihw.gov.au/content/395084" TargetMode="External" Id="R2965b635392b4093" /><Relationship Type="http://schemas.openxmlformats.org/officeDocument/2006/relationships/hyperlink" Target="http://www.abs.gov.au/ausstats/abs@.nsf/Lookup/3303.0Technical+Note12013" TargetMode="External" Id="R0549eef08bef439e" /><Relationship Type="http://schemas.openxmlformats.org/officeDocument/2006/relationships/hyperlink" Target="https://meteor.aihw.gov.au/content/721652" TargetMode="External" Id="R16c3126151114682" /><Relationship Type="http://schemas.openxmlformats.org/officeDocument/2006/relationships/hyperlink" Target="https://meteor.aihw.gov.au/content/719790" TargetMode="External" Id="Rc0c0edf1f9d04a96" /><Relationship Type="http://schemas.openxmlformats.org/officeDocument/2006/relationships/hyperlink" Target="https://meteor.aihw.gov.au/content/395084" TargetMode="External" Id="Ra80097c2960a4ce5" /><Relationship Type="http://schemas.openxmlformats.org/officeDocument/2006/relationships/hyperlink" Target="https://meteor.aihw.gov.au/content/704699" TargetMode="External" Id="R4c7c5a56619643f6" /><Relationship Type="http://schemas.openxmlformats.org/officeDocument/2006/relationships/hyperlink" Target="https://meteor.aihw.gov.au/content/728478" TargetMode="External" Id="R6b83ac8782534f45" /><Relationship Type="http://schemas.openxmlformats.org/officeDocument/2006/relationships/hyperlink" Target="https://meteor.aihw.gov.au/RegistrationAuthority/12" TargetMode="External" Id="R02afb59322874c3d" /><Relationship Type="http://schemas.openxmlformats.org/officeDocument/2006/relationships/hyperlink" Target="https://meteor.aihw.gov.au/content/787021" TargetMode="External" Id="R39c587807b5e46d9" /><Relationship Type="http://schemas.openxmlformats.org/officeDocument/2006/relationships/hyperlink" Target="https://meteor.aihw.gov.au/RegistrationAuthority/12" TargetMode="External" Id="R940be2b8be984b9e" /></Relationships>
</file>

<file path=word/_rels/header1.xml.rels>&#65279;<?xml version="1.0" encoding="utf-8"?><Relationships xmlns="http://schemas.openxmlformats.org/package/2006/relationships"><Relationship Type="http://schemas.openxmlformats.org/officeDocument/2006/relationships/image" Target="/media/image.png" Id="R0e35acb95a94481c" /></Relationships>
</file>