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de3dfc607d41c8"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2020–21: National Mental Health Establishments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2020–21: National Mental Health Establishments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88fcf03f14984">
              <w:r>
                <w:rPr>
                  <w:rStyle w:val="Hyperlink"/>
                  <w:color w:val="244061"/>
                </w:rPr>
                <w:t xml:space="preserve">AIHW Data Quality Statements</w:t>
              </w:r>
            </w:hyperlink>
            <w:r>
              <w:rPr>
                <w:rStyle w:val="row-content"/>
                <w:color w:val="244061"/>
              </w:rPr>
              <w:t xml:space="preserve">, Superseded 14/02/2024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link).</w:t>
            </w:r>
          </w:p>
          <w:p>
            <w:pPr>
              <w:spacing w:after="160"/>
            </w:pPr>
            <w:r>
              <w:rPr>
                <w:rStyle w:val="row-content-rich-text"/>
              </w:rPr>
              <w:t xml:space="preserve">The NMHED includes data from 1992–93 to 2020–21. Since 2005–06 data have been compiled as specified by the MHE NMDS. Prior to this (1992–92 to 2004–05), data were collected through the National Survey of Mental Health Services, managed by the Australian Government Department of Health and Aged Care, and the Community Mental Health Establishments NMDS.</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long-term nature of the data contained in the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c76de9c087e4d43">
              <w:r>
                <w:rPr>
                  <w:rStyle w:val="Hyperlink"/>
                </w:rPr>
                <w:t xml:space="preserve">Australian Institute of Health and Welfare Act 1987</w:t>
              </w:r>
            </w:hyperlink>
            <w:r>
              <w:rPr>
                <w:rStyle w:val="row-content-rich-text"/>
              </w:rPr>
              <w:t xml:space="preserve"> (AIHW Act), governed by a </w:t>
            </w:r>
            <w:hyperlink w:history="true" r:id="R9ed1b9bfe5c9418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7d2c4a46e684f4d">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55d8d412d754abd">
              <w:r>
                <w:rPr>
                  <w:rStyle w:val="Hyperlink"/>
                </w:rPr>
                <w:t xml:space="preserve">www.aihw.gov.au/about-us</w:t>
              </w:r>
            </w:hyperlink>
            <w:r>
              <w:rPr>
                <w:rStyle w:val="row-content-rich-text"/>
              </w:rPr>
              <w:t xml:space="preserve">, which includes details about the AIHW’s governance (</w:t>
            </w:r>
            <w:hyperlink w:history="true" r:id="Rfa19c9f3577d48dd">
              <w:r>
                <w:rPr>
                  <w:rStyle w:val="Hyperlink"/>
                </w:rPr>
                <w:t xml:space="preserve">www.aihw.gov.au/about-us/our-governance</w:t>
              </w:r>
            </w:hyperlink>
            <w:r>
              <w:rPr>
                <w:rStyle w:val="row-content-rich-text"/>
              </w:rPr>
              <w:t xml:space="preserve">) and our role and strategic goals (</w:t>
            </w:r>
            <w:hyperlink w:history="true" r:id="Rb540891e060642cb">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w:t>
            </w:r>
            <w:hyperlink w:history="true" r:id="R21c4157619b64058">
              <w:r>
                <w:rPr>
                  <w:rStyle w:val="Hyperlink"/>
                </w:rPr>
                <w:t xml:space="preserve">National Health Information Agreement</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f1197bd3febf4a3e">
              <w:r>
                <w:rPr>
                  <w:rStyle w:val="Hyperlink"/>
                </w:rPr>
                <w:t xml:space="preserve">722221</w:t>
              </w:r>
            </w:hyperlink>
            <w:r>
              <w:rPr>
                <w:rStyle w:val="row-content-rich-text"/>
              </w:rPr>
              <w:t xml:space="preserve">), Residential Mental Health Care NMDS (METeOR ID </w:t>
            </w:r>
            <w:hyperlink w:history="true" r:id="R5507ac78d1224a8f">
              <w:r>
                <w:rPr>
                  <w:rStyle w:val="Hyperlink"/>
                </w:rPr>
                <w:t xml:space="preserve">722224</w:t>
              </w:r>
            </w:hyperlink>
            <w:r>
              <w:rPr>
                <w:rStyle w:val="row-content-rich-text"/>
              </w:rPr>
              <w:t xml:space="preserve">), Admitted Patient Care Care NMDS (METeOR ID </w:t>
            </w:r>
            <w:hyperlink w:history="true" r:id="R2eed36cba40d42ba">
              <w:r>
                <w:rPr>
                  <w:rStyle w:val="Hyperlink"/>
                </w:rPr>
                <w:t xml:space="preserve">713850</w:t>
              </w:r>
            </w:hyperlink>
            <w:r>
              <w:rPr>
                <w:rStyle w:val="row-content-rich-text"/>
              </w:rPr>
              <w:t xml:space="preserve">) and </w:t>
            </w:r>
            <w:hyperlink w:history="true" r:id="R5748dae233784c3d">
              <w:r>
                <w:rPr>
                  <w:rStyle w:val="Hyperlink"/>
                </w:rPr>
                <w:t xml:space="preserve">Mental Health National Outcomes and Casemix Collection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2020–21, that is, services that were operational between 1 July 2020 and 30 June 2021, or part thereof. Data for the 2019–20 reference period were first supplied to the AIHW in April (Tas, Qld, NT, WA), May (Vic, NSW, SA), and July (ACT) 2021.</w:t>
            </w:r>
          </w:p>
          <w:p>
            <w:pPr/>
            <w:r>
              <w:rPr>
                <w:rStyle w:val="row-content-rich-text"/>
              </w:rPr>
              <w:t xml:space="preserve">The AIHW publishes data from the NMHED in its online product </w:t>
            </w:r>
            <w:hyperlink w:history="true" r:id="R1811c6577b9646b4">
              <w:r>
                <w:rPr>
                  <w:rStyle w:val="Hyperlink"/>
                </w:rPr>
                <w:t xml:space="preserve">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3b96a2da0da6431d">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2faa9c64ae4f4053">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spacing w:after="160"/>
            </w:pPr>
            <w:r>
              <w:rPr>
                <w:rStyle w:val="row-content-rich-text"/>
              </w:rPr>
              <w:t xml:space="preserve">Data are subject to ongoing historical validation. Due to this ongoing validation, published 2005–06 to 2020–21 data could differ from previously published data.</w:t>
            </w:r>
          </w:p>
          <w:p>
            <w:pPr>
              <w:spacing w:after="160"/>
            </w:pPr>
            <w:r>
              <w:rPr>
                <w:rStyle w:val="row-content-rich-text"/>
                <w:i/>
              </w:rPr>
              <w:t xml:space="preserve">New South Wales </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Northern Territory </w:t>
            </w:r>
          </w:p>
          <w:p>
            <w:pPr/>
            <w:r>
              <w:rPr>
                <w:rStyle w:val="row-content-rich-text"/>
              </w:rPr>
              <w:t xml:space="preserve">Domestic staffing FTE figures are routinely unavailable for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2020–21. Data should be consistent across most jurisdictions and across years within most jurisdictions, with the following exceptions.</w:t>
            </w:r>
          </w:p>
          <w:p>
            <w:pPr>
              <w:spacing w:after="160"/>
            </w:pPr>
            <w:r>
              <w:rPr>
                <w:rStyle w:val="row-content-rich-text"/>
                <w:i/>
              </w:rPr>
              <w:t xml:space="preserve">Impact of the COVID-19 pandemic</w:t>
            </w:r>
          </w:p>
          <w:p>
            <w:pPr>
              <w:spacing w:after="160"/>
            </w:pPr>
            <w:r>
              <w:rPr>
                <w:rStyle w:val="row-content-rich-text"/>
              </w:rPr>
              <w:t xml:space="preserve">Since 2020, the COVID-19 pandemic has affected the delivery of care in health systems and health expenditure. The approach to the reporting of pandemic-related expenditure differed between jurisdictions. For example, some jurisdictions have included the expenditure for COVID screening measures, COVID tests for staff and patients, and the purchase of Personal Protective Equipment and other consumables in the reporting to NMHED, while for others, these costs were not allocated into health portfolios. Restrictions on movement and social distancing requirements may have also had an impact on expenditure, particularly in 2020–21. Caution should be exercised when making jurisdictional comparisons and time series analysis that include the 2020–21 period.</w:t>
            </w:r>
          </w:p>
          <w:p>
            <w:pPr>
              <w:spacing w:after="160"/>
            </w:pPr>
            <w:r>
              <w:rPr>
                <w:rStyle w:val="row-content-rich-text"/>
                <w:i/>
              </w:rPr>
              <w:t xml:space="preserve">Youth admitted beds</w:t>
            </w:r>
          </w:p>
          <w:p>
            <w:pPr>
              <w:spacing w:after="160"/>
            </w:pPr>
            <w:r>
              <w:rPr>
                <w:rStyle w:val="row-content-rich-text"/>
              </w:rPr>
              <w:t xml:space="preserve">Prior to 2014</w:t>
            </w:r>
            <w:r>
              <w:rPr>
                <w:rStyle w:val="row-content-rich-text"/>
              </w:rPr>
              <w:t xml:space="preserve">–</w:t>
            </w:r>
            <w:r>
              <w:rPr>
                <w:rStyle w:val="row-content-rich-text"/>
              </w:rPr>
              <w:t xml:space="preserve">15, </w:t>
            </w:r>
            <w:r>
              <w:rPr>
                <w:rStyle w:val="row-content-rich-text"/>
                <w:i/>
              </w:rPr>
              <w:t xml:space="preserve">Youth</w:t>
            </w:r>
            <w:r>
              <w:rPr>
                <w:rStyle w:val="row-content-rich-text"/>
              </w:rPr>
              <w:t xml:space="preserve"> beds were aggregated into the </w:t>
            </w:r>
            <w:r>
              <w:rPr>
                <w:rStyle w:val="row-content-rich-text"/>
                <w:i/>
              </w:rPr>
              <w:t xml:space="preserve">General</w:t>
            </w:r>
            <w:r>
              <w:rPr>
                <w:rStyle w:val="row-content-rich-text"/>
              </w:rPr>
              <w:t xml:space="preserve"> category, due to small numbers. From 2014</w:t>
            </w:r>
            <w:r>
              <w:rPr>
                <w:rStyle w:val="row-content-rich-text"/>
              </w:rPr>
              <w:t xml:space="preserve">–</w:t>
            </w:r>
            <w:r>
              <w:rPr>
                <w:rStyle w:val="row-content-rich-text"/>
              </w:rPr>
              <w:t xml:space="preserve">15 these beds have been reported separately. Patient days, and patient day costs relating to </w:t>
            </w:r>
            <w:r>
              <w:rPr>
                <w:rStyle w:val="row-content-rich-text"/>
                <w:i/>
              </w:rPr>
              <w:t xml:space="preserve">Youth</w:t>
            </w:r>
            <w:r>
              <w:rPr>
                <w:rStyle w:val="row-content-rich-text"/>
              </w:rPr>
              <w:t xml:space="preserve"> units are aggregated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801ff1cecce64257">
              <w:r>
                <w:rPr>
                  <w:rStyle w:val="Hyperlink"/>
                </w:rPr>
                <w:t xml:space="preserve">target population</w:t>
              </w:r>
            </w:hyperlink>
            <w:r>
              <w:rPr>
                <w:rStyle w:val="row-content-rich-text"/>
              </w:rPr>
              <w:t xml:space="preserve"> and </w:t>
            </w:r>
            <w:hyperlink w:history="true" r:id="R19b06efa925c4dd4">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w:t>
            </w:r>
            <w:r>
              <w:rPr>
                <w:rStyle w:val="row-content-rich-text"/>
                <w:i/>
              </w:rPr>
              <w:t xml:space="preserve">Child and adolescent</w:t>
            </w:r>
            <w:r>
              <w:rPr>
                <w:rStyle w:val="row-content-rich-text"/>
              </w:rPr>
              <w:t xml:space="preserve">, </w:t>
            </w:r>
            <w:r>
              <w:rPr>
                <w:rStyle w:val="row-content-rich-text"/>
                <w:i/>
              </w:rPr>
              <w:t xml:space="preserve">Youth</w:t>
            </w:r>
            <w:r>
              <w:rPr>
                <w:rStyle w:val="row-content-rich-text"/>
              </w:rPr>
              <w:t xml:space="preserve">, </w:t>
            </w:r>
            <w:r>
              <w:rPr>
                <w:rStyle w:val="row-content-rich-text"/>
                <w:i/>
              </w:rPr>
              <w:t xml:space="preserve">Older persons</w:t>
            </w:r>
            <w:r>
              <w:rPr>
                <w:rStyle w:val="row-content-rich-text"/>
              </w:rPr>
              <w:t xml:space="preserve">’</w:t>
            </w:r>
            <w:r>
              <w:rPr>
                <w:rStyle w:val="row-content-rich-text"/>
              </w:rPr>
              <w:t xml:space="preserve"> or </w:t>
            </w:r>
            <w:r>
              <w:rPr>
                <w:rStyle w:val="row-content-rich-text"/>
                <w:i/>
              </w:rPr>
              <w:t xml:space="preserve">Forensic</w:t>
            </w:r>
            <w:r>
              <w:rPr>
                <w:rStyle w:val="row-content-rich-text"/>
              </w:rPr>
              <w:t xml:space="preserve"> mental health service for example, it must be recognised by the relevant state or territory funding authority as having a corresponding specialised function and is specifically funded to provide such specialty services. It is likely that the cost per patient day for </w:t>
            </w:r>
            <w:r>
              <w:rPr>
                <w:rStyle w:val="row-content-rich-text"/>
                <w:i/>
              </w:rPr>
              <w:t xml:space="preserve">General</w:t>
            </w:r>
            <w:r>
              <w:rPr>
                <w:rStyle w:val="row-content-rich-text"/>
              </w:rPr>
              <w:t xml:space="preserve"> services in a jurisdiction that has separate </w:t>
            </w:r>
            <w:r>
              <w:rPr>
                <w:rStyle w:val="row-content-rich-text"/>
                <w:i/>
              </w:rPr>
              <w:t xml:space="preserve">Child and adolescent</w:t>
            </w:r>
            <w:r>
              <w:rPr>
                <w:rStyle w:val="row-content-rich-text"/>
              </w:rPr>
              <w:t xml:space="preserve"> and </w:t>
            </w:r>
            <w:r>
              <w:rPr>
                <w:rStyle w:val="row-content-rich-text"/>
                <w:i/>
              </w:rPr>
              <w:t xml:space="preserve">Older persons</w:t>
            </w:r>
            <w:r>
              <w:rPr>
                <w:rStyle w:val="row-content-rich-text"/>
              </w:rPr>
              <w:t xml:space="preserve"> services (for example, New South Wales and Victoria), may not be comparable to the average cost in a jurisdiction that has </w:t>
            </w:r>
            <w:r>
              <w:rPr>
                <w:rStyle w:val="row-content-rich-text"/>
                <w:i/>
              </w:rPr>
              <w:t xml:space="preserve">General</w:t>
            </w:r>
            <w:r>
              <w:rPr>
                <w:rStyle w:val="row-content-rich-text"/>
              </w:rPr>
              <w:t xml:space="preserve"> services only (for example, Northern Territory).</w:t>
            </w:r>
          </w:p>
          <w:p>
            <w:pPr>
              <w:spacing w:after="160"/>
            </w:pPr>
            <w:r>
              <w:rPr>
                <w:rStyle w:val="row-content-rich-text"/>
                <w:i/>
              </w:rPr>
              <w:t xml:space="preserve">Residential service beds</w:t>
            </w:r>
          </w:p>
          <w:p>
            <w:pPr>
              <w:spacing w:after="160"/>
            </w:pPr>
            <w:r>
              <w:rPr>
                <w:rStyle w:val="row-content-rich-text"/>
              </w:rPr>
              <w:t xml:space="preserve">Beds for </w:t>
            </w:r>
            <w:r>
              <w:rPr>
                <w:rStyle w:val="row-content-rich-text"/>
                <w:i/>
              </w:rPr>
              <w:t xml:space="preserve">Child and adolescent</w:t>
            </w:r>
            <w:r>
              <w:rPr>
                <w:rStyle w:val="row-content-rich-text"/>
              </w:rPr>
              <w:t xml:space="preserve"> and </w:t>
            </w:r>
            <w:r>
              <w:rPr>
                <w:rStyle w:val="row-content-rich-text"/>
                <w:i/>
              </w:rPr>
              <w:t xml:space="preserve">Forensic</w:t>
            </w:r>
            <w:r>
              <w:rPr>
                <w:rStyle w:val="row-content-rich-text"/>
              </w:rPr>
              <w:t xml:space="preserve"> units are reported separately. Patient days for these services are rolled up into the </w:t>
            </w:r>
            <w:r>
              <w:rPr>
                <w:rStyle w:val="row-content-rich-text"/>
                <w:i/>
              </w:rPr>
              <w:t xml:space="preserve">General</w:t>
            </w:r>
            <w:r>
              <w:rPr>
                <w:rStyle w:val="row-content-rich-text"/>
              </w:rPr>
              <w:t xml:space="preserve"> category for all years.</w:t>
            </w:r>
          </w:p>
          <w:p>
            <w:pPr>
              <w:spacing w:after="160"/>
            </w:pPr>
            <w:r>
              <w:rPr>
                <w:rStyle w:val="row-content-rich-text"/>
              </w:rPr>
              <w:t xml:space="preserve">In Western Australian data, several residential services reported as 24-hour staffed services in 2009–10 transitioned to a non-24-hour staffed model of care as of 1 July 2010. In addition, data prior to 2010–11 include a small number of emergency department observation beds in one hospital.</w:t>
            </w:r>
          </w:p>
          <w:p>
            <w:pPr>
              <w:spacing w:after="160"/>
            </w:pPr>
            <w:r>
              <w:rPr>
                <w:rStyle w:val="row-content-rich-text"/>
              </w:rPr>
              <w:t xml:space="preserve">In 2014–15, Tasmania reclassified 27 non-acute admitted beds to residential beds, reflecting a change in function of the unit.   </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w:t>
            </w:r>
            <w:r>
              <w:rPr>
                <w:rStyle w:val="row-content-rich-text"/>
              </w:rPr>
              <w:t xml:space="preserve">–</w:t>
            </w:r>
            <w:r>
              <w:rPr>
                <w:rStyle w:val="row-content-rich-text"/>
              </w:rPr>
              <w:t xml:space="preserve">95. Data prior to 2005</w:t>
            </w:r>
            <w:r>
              <w:rPr>
                <w:rStyle w:val="row-content-rich-text"/>
              </w:rPr>
              <w:t xml:space="preserve">–</w:t>
            </w:r>
            <w:r>
              <w:rPr>
                <w:rStyle w:val="row-content-rich-text"/>
              </w:rPr>
              <w:t xml:space="preserve">06 may exclude small numbers of staff employed by specialised mental health service organisations.</w:t>
            </w:r>
          </w:p>
          <w:p>
            <w:pPr>
              <w:spacing w:after="160"/>
            </w:pPr>
            <w:r>
              <w:rPr>
                <w:rStyle w:val="row-content-rich-text"/>
              </w:rPr>
              <w:t xml:space="preserve">In 2012</w:t>
            </w:r>
            <w:r>
              <w:rPr>
                <w:rStyle w:val="row-content-rich-text"/>
              </w:rPr>
              <w:t xml:space="preserve">–</w:t>
            </w:r>
            <w:r>
              <w:rPr>
                <w:rStyle w:val="row-content-rich-text"/>
              </w:rPr>
              <w:t xml:space="preserve">13, the </w:t>
            </w:r>
            <w:hyperlink w:history="true" r:id="Rbf7e32a2ddb44824">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as </w:t>
            </w:r>
            <w:r>
              <w:rPr>
                <w:rStyle w:val="row-content-rich-text"/>
                <w:i/>
              </w:rPr>
              <w:t xml:space="preserve">Child and adolescent</w:t>
            </w:r>
            <w:r>
              <w:rPr>
                <w:rStyle w:val="row-content-rich-text"/>
              </w:rPr>
              <w:t xml:space="preserve"> by New South Wales and the Australian Capital Territory; </w:t>
            </w:r>
            <w:r>
              <w:rPr>
                <w:rStyle w:val="row-content-rich-text"/>
                <w:i/>
              </w:rPr>
              <w:t xml:space="preserve">Forensic</w:t>
            </w:r>
            <w:r>
              <w:rPr>
                <w:rStyle w:val="row-content-rich-text"/>
              </w:rPr>
              <w:t xml:space="preserve"> by Victoria, South Australia, and Northern Territory; and </w:t>
            </w:r>
            <w:r>
              <w:rPr>
                <w:rStyle w:val="row-content-rich-text"/>
                <w:i/>
              </w:rPr>
              <w:t xml:space="preserve">Youth</w:t>
            </w:r>
            <w:r>
              <w:rPr>
                <w:rStyle w:val="row-content-rich-text"/>
              </w:rPr>
              <w:t xml:space="preserve"> by Victoria Western Australia and the Australian Capital Territory, were included in the </w:t>
            </w:r>
            <w:r>
              <w:rPr>
                <w:rStyle w:val="row-content-rich-text"/>
                <w:i/>
              </w:rPr>
              <w:t xml:space="preserve">General</w:t>
            </w:r>
            <w:r>
              <w:rPr>
                <w:rStyle w:val="row-content-rich-text"/>
              </w:rPr>
              <w:t xml:space="preserve"> category at the request of those jurisdictions.</w:t>
            </w:r>
          </w:p>
          <w:p>
            <w:pPr>
              <w:spacing w:after="160"/>
            </w:pPr>
            <w:r>
              <w:rPr>
                <w:rStyle w:val="row-content-rich-text"/>
              </w:rPr>
              <w:t xml:space="preserve">Aboriginal and Torres Strait Islander Mental Health Workers was added as a new staffing category in 2020–21. Queensland previously reported this FTE under </w:t>
            </w:r>
            <w:r>
              <w:rPr>
                <w:rStyle w:val="row-content-rich-text"/>
                <w:i/>
              </w:rPr>
              <w:t xml:space="preserve">Other Personal Care</w:t>
            </w:r>
            <w:r>
              <w:rPr>
                <w:rStyle w:val="row-content-rich-text"/>
              </w:rPr>
              <w:t xml:space="preserve"> FTE. New South Wales, Western Australia and South Australia previously reported Aboriginal and Torres Strait Islander Mental Health Worker FTE under the </w:t>
            </w:r>
            <w:r>
              <w:rPr>
                <w:rStyle w:val="row-content-rich-text"/>
                <w:i/>
              </w:rPr>
              <w:t xml:space="preserve">Other Diagnostic and Health Professionals</w:t>
            </w:r>
            <w:r>
              <w:rPr>
                <w:rStyle w:val="row-content-rich-text"/>
              </w:rPr>
              <w:t xml:space="preserve"> staffing category. Prior to and in 2020-21, Western Australia captured Aboriginal and Torres Strait Islander Mental Health Workers FTE as part of the </w:t>
            </w:r>
            <w:r>
              <w:rPr>
                <w:rStyle w:val="row-content-rich-text"/>
                <w:i/>
              </w:rPr>
              <w:t xml:space="preserve">Diagnostic and allied health professionals</w:t>
            </w:r>
            <w:r>
              <w:rPr>
                <w:rStyle w:val="row-content-rich-text"/>
              </w:rPr>
              <w:t xml:space="preserve"> staffing category at the setting level.</w:t>
            </w:r>
          </w:p>
          <w:p>
            <w:pPr>
              <w:spacing w:after="160"/>
            </w:pPr>
            <w:r>
              <w:rPr>
                <w:rStyle w:val="row-content-rich-text"/>
                <w:i/>
              </w:rPr>
              <w:t xml:space="preserve">Primary Health Network (PHN)-funded state managed services</w:t>
            </w:r>
          </w:p>
          <w:p>
            <w:pPr>
              <w:spacing w:after="160"/>
            </w:pPr>
            <w:r>
              <w:rPr>
                <w:rStyle w:val="row-content-rich-text"/>
              </w:rPr>
              <w:t xml:space="preserve">PHN funded state managed mental health services are reported in the Community Mental Health Care (CMHC) and MHE NMDSs by Victoria and South Australia; Western Australia reports these services in CMHC only. Other states and territories do not currently report on these services to either NMDS.</w:t>
            </w:r>
          </w:p>
          <w:p>
            <w:pPr>
              <w:spacing w:after="160"/>
            </w:pPr>
            <w:r>
              <w:rPr>
                <w:rStyle w:val="row-content-rich-text"/>
                <w:i/>
              </w:rPr>
              <w:t xml:space="preserve">National Mental Health Service Standards </w:t>
            </w:r>
            <w:r>
              <w:rPr>
                <w:rStyle w:val="row-content-rich-text"/>
                <w:i/>
              </w:rPr>
              <w:t xml:space="preserve">accreditation</w:t>
            </w:r>
          </w:p>
          <w:p>
            <w:pPr>
              <w:spacing w:after="160"/>
            </w:pPr>
            <w:r>
              <w:rPr>
                <w:rStyle w:val="row-content-rich-text"/>
              </w:rPr>
              <w:t xml:space="preserve">Services for several jurisdictions were assessed under service accreditation standards that differ from the National Standards for Mental Health Services (NSMHS) as specified in the MHE NMDS.</w:t>
            </w:r>
          </w:p>
          <w:p>
            <w:pPr>
              <w:pStyle w:val="ListParagraph"/>
              <w:numPr>
                <w:ilvl w:val="0"/>
                <w:numId w:val="3"/>
              </w:numPr>
            </w:pPr>
            <w:r>
              <w:rPr>
                <w:rStyle w:val="row-content-rich-text"/>
              </w:rPr>
              <w:t xml:space="preserve">From 2011–12 onwards, Victorian data report compliance against the 2010 NSMHS as services transition from accreditation against the 1996 NSMHS.</w:t>
            </w:r>
          </w:p>
          <w:p>
            <w:pPr>
              <w:pStyle w:val="ListParagraph"/>
              <w:numPr>
                <w:ilvl w:val="0"/>
                <w:numId w:val="3"/>
              </w:numPr>
            </w:pPr>
            <w:r>
              <w:rPr>
                <w:rStyle w:val="row-content-rich-text"/>
              </w:rPr>
              <w:t xml:space="preserve">From 2016–17 onwards, services within the Northern Territory were assessed under service accreditation standards which do not include certification for NSMHS. Caution should be exercised when conducting time series analyses. </w:t>
            </w:r>
          </w:p>
          <w:p>
            <w:pPr>
              <w:pStyle w:val="ListParagraph"/>
              <w:numPr>
                <w:ilvl w:val="0"/>
                <w:numId w:val="3"/>
              </w:numPr>
            </w:pPr>
            <w:r>
              <w:rPr>
                <w:rStyle w:val="row-content-rich-text"/>
              </w:rPr>
              <w:t xml:space="preserve">From 2017–18, services in the Australian Capital Territory have been accredited against the NSQHS, which meets some but not all of the NSMHS. Caution should be exercised when conducting time series analyses. Please refer to METEOR ID </w:t>
            </w:r>
            <w:hyperlink w:history="true" r:id="R48c919aa72954335">
              <w:r>
                <w:rPr>
                  <w:rStyle w:val="Hyperlink"/>
                </w:rPr>
                <w:t xml:space="preserve">722190</w:t>
              </w:r>
            </w:hyperlink>
            <w:r>
              <w:rPr>
                <w:rStyle w:val="row-content-rich-text"/>
              </w:rPr>
              <w:t xml:space="preserve"> f</w:t>
            </w:r>
            <w:r>
              <w:rPr>
                <w:rStyle w:val="row-content-rich-text"/>
              </w:rPr>
              <w:t xml:space="preserve">or further information on this data element.</w:t>
            </w:r>
            <w:r>
              <w:rPr>
                <w:rStyle w:val="row-content-rich-text"/>
              </w:rPr>
              <w:t xml:space="preserve"> </w:t>
            </w:r>
          </w:p>
          <w:p>
            <w:pPr>
              <w:spacing w:after="160"/>
            </w:pPr>
            <w:r>
              <w:rPr>
                <w:rStyle w:val="row-content-rich-text"/>
                <w:i/>
              </w:rPr>
              <w:t xml:space="preserve">New South Wales</w:t>
            </w:r>
          </w:p>
          <w:p>
            <w:pPr>
              <w:spacing w:after="160"/>
            </w:pPr>
            <w:r>
              <w:rPr>
                <w:rStyle w:val="row-content-rich-text"/>
              </w:rPr>
              <w:t xml:space="preserve">In 2020–21, changes in reporting methodology have resulted in an increase in Consumer Workers FTE in New South Wales.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were deemed to be Non-Government Organisation expenditure, contrasting with data presented in the Facilities section, where beds, mental health care days, etc. were shown as government operated services.</w:t>
            </w:r>
          </w:p>
          <w:p>
            <w:pPr>
              <w:spacing w:after="160"/>
            </w:pPr>
            <w:r>
              <w:rPr>
                <w:rStyle w:val="row-content-rich-text"/>
              </w:rPr>
              <w:t xml:space="preserve">Data between November 2020 and November 2021 may have been affected by protected industrial activity, impacting the collection of non-clinical and administrative data and recording of ambulatory mental health service activity and consumer outcome measures. Affected data reported during this period should be interpreted with caution.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4"/>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MHE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spacing w:after="160"/>
            </w:pPr>
            <w:r>
              <w:rPr>
                <w:rStyle w:val="row-content-rich-text"/>
              </w:rPr>
              <w:t xml:space="preserve">Queensland provides </w:t>
            </w:r>
            <w:r>
              <w:rPr>
                <w:rStyle w:val="row-content-rich-text"/>
                <w:i/>
              </w:rPr>
              <w:t xml:space="preserve">Older persons’</w:t>
            </w:r>
            <w:r>
              <w:rPr>
                <w:rStyle w:val="row-content-rich-text"/>
              </w:rPr>
              <w:t xml:space="preserve"> mental health inpatient services using a number of different service models; however, the majority of </w:t>
            </w:r>
            <w:r>
              <w:rPr>
                <w:rStyle w:val="row-content-rich-text"/>
                <w:i/>
              </w:rPr>
              <w:t xml:space="preserve">Older persons’</w:t>
            </w:r>
            <w:r>
              <w:rPr>
                <w:rStyle w:val="row-content-rich-text"/>
              </w:rPr>
              <w:t xml:space="preserve"> acute care is reported through </w:t>
            </w:r>
            <w:r>
              <w:rPr>
                <w:rStyle w:val="row-content-rich-text"/>
                <w:i/>
              </w:rPr>
              <w:t xml:space="preserve">General </w:t>
            </w:r>
            <w:r>
              <w:rPr>
                <w:rStyle w:val="row-content-rich-text"/>
              </w:rPr>
              <w:t xml:space="preserve">units, which limits comparability with jurisdictions that report these services differently. Queensland does not report any </w:t>
            </w:r>
            <w:r>
              <w:rPr>
                <w:rStyle w:val="row-content-rich-text"/>
                <w:i/>
              </w:rPr>
              <w:t xml:space="preserve">Forensic</w:t>
            </w:r>
            <w:r>
              <w:rPr>
                <w:rStyle w:val="row-content-rich-text"/>
              </w:rPr>
              <w:t xml:space="preserve"> services; however, forensic patients can and do access acute care through </w:t>
            </w:r>
            <w:r>
              <w:rPr>
                <w:rStyle w:val="row-content-rich-text"/>
                <w:i/>
              </w:rPr>
              <w:t xml:space="preserve">General</w:t>
            </w:r>
            <w:r>
              <w:rPr>
                <w:rStyle w:val="row-content-rich-text"/>
              </w:rPr>
              <w:t xml:space="preserve"> units.</w:t>
            </w:r>
          </w:p>
          <w:p>
            <w:pPr>
              <w:spacing w:after="160"/>
            </w:pPr>
            <w:r>
              <w:rPr>
                <w:rStyle w:val="row-content-rich-text"/>
              </w:rPr>
              <w:t xml:space="preserve">In 2013–14, a review of services resulting in the reclassification of beds from non-acute </w:t>
            </w:r>
            <w:r>
              <w:rPr>
                <w:rStyle w:val="row-content-rich-text"/>
                <w:i/>
              </w:rPr>
              <w:t xml:space="preserve">Older persons </w:t>
            </w:r>
            <w:r>
              <w:rPr>
                <w:rStyle w:val="row-content-rich-text"/>
              </w:rPr>
              <w:t xml:space="preserve">admitted services to non-mental health care. </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 </w:t>
            </w:r>
          </w:p>
          <w:p>
            <w:pPr>
              <w:spacing w:after="160"/>
            </w:pPr>
            <w:r>
              <w:rPr>
                <w:rStyle w:val="row-content-rich-text"/>
              </w:rPr>
              <w:t xml:space="preserve">A review of services resulted in the reclassification of beds between the acute and non-acute categories for the 2010–11 collection to more accurately reflect the function of these services.  </w:t>
            </w:r>
          </w:p>
          <w:p>
            <w:pPr>
              <w:spacing w:after="160"/>
            </w:pPr>
            <w:r>
              <w:rPr>
                <w:rStyle w:val="row-content-rich-text"/>
              </w:rPr>
              <w:t xml:space="preserve">FTE staff data has been unavailable for one service in Western Australia since 2015–16, impacting time series staffing figures. Direct care FTE staff for the service are estimated to be about 70 FTE in 2015–16, about 120 FTE in 2016–17, and about 125 FTE in 2017–18 to 2020–21. Comparisons between staffing and expenditure should be made with caution.</w:t>
            </w:r>
          </w:p>
          <w:p>
            <w:pPr>
              <w:spacing w:after="160"/>
            </w:pPr>
            <w:r>
              <w:rPr>
                <w:rStyle w:val="row-content-rich-text"/>
                <w:i/>
              </w:rPr>
              <w:t xml:space="preserve">South Australia</w:t>
            </w:r>
          </w:p>
          <w:p>
            <w:pPr>
              <w:spacing w:after="160"/>
            </w:pPr>
            <w:r>
              <w:rPr>
                <w:rStyle w:val="row-content-rich-text"/>
              </w:rPr>
              <w:t xml:space="preserve">In 2019–20, South Australia advised that the decrease in non-24 hour, non-government organisation operated residential mental health care beds are related to the transition to these beds to funding under the NDIS, which are considered out-of-scope for reporting to the MHE NMDS.</w:t>
            </w:r>
          </w:p>
          <w:p>
            <w:pPr>
              <w:spacing w:after="160"/>
            </w:pPr>
            <w:r>
              <w:rPr>
                <w:rStyle w:val="row-content-rich-text"/>
                <w:i/>
              </w:rPr>
              <w:t xml:space="preserve">Australian Capital Territory (ACT)</w:t>
            </w:r>
          </w:p>
          <w:p>
            <w:pPr>
              <w:spacing w:after="160"/>
            </w:pPr>
            <w:r>
              <w:rPr>
                <w:rStyle w:val="row-content-rich-text"/>
              </w:rPr>
              <w:t xml:space="preserve">In 2016–17, ACT advised that a number of non-24 hour residential services are now funded under the NDIS, which ACT now consider out-of-scope for reporting to the MHE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 </w:t>
            </w:r>
          </w:p>
          <w:p>
            <w:pPr>
              <w:spacing w:after="160"/>
            </w:pPr>
            <w:r>
              <w:rPr>
                <w:rStyle w:val="row-content-rich-text"/>
              </w:rPr>
              <w:t xml:space="preserve">In 2019–20, the Northern Territory advised that the decrease in residential expenditure is due to the gradual transition of clients to NDIS funding.</w:t>
            </w:r>
          </w:p>
          <w:p>
            <w:pPr/>
            <w:r>
              <w:rPr>
                <w:rStyle w:val="row-content-rich-text"/>
              </w:rPr>
              <w:t xml:space="preserve">In 2020–21, a residential service in the Northern Territory transitioned to PHN funding, resulting in a decrease in Other personal care FTE for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b8a0b17b541b9">
              <w:r>
                <w:rPr>
                  <w:rStyle w:val="Hyperlink"/>
                </w:rPr>
                <w:t xml:space="preserve">Mental Health Establishments NMDS 2019–20: National Mental Health Establishments Database, 2022; Quality Statement</w:t>
              </w:r>
            </w:hyperlink>
          </w:p>
          <w:p>
            <w:pPr>
              <w:spacing w:before="0" w:after="0"/>
            </w:pPr>
            <w:r>
              <w:rPr>
                <w:rStyle w:val="row-content"/>
                <w:color w:val="244061"/>
              </w:rPr>
              <w:t xml:space="preserve">       </w:t>
            </w:r>
            <w:hyperlink w:history="true" r:id="R1df4e536f4714f8f">
              <w:r>
                <w:rPr>
                  <w:rStyle w:val="Hyperlink"/>
                  <w:color w:val="244061"/>
                </w:rPr>
                <w:t xml:space="preserve">AIHW Data Quality Statements</w:t>
              </w:r>
            </w:hyperlink>
            <w:r>
              <w:rPr>
                <w:rStyle w:val="row-content"/>
                <w:color w:val="244061"/>
              </w:rPr>
              <w:t xml:space="preserve">, Superseded 28/03/2023</w:t>
            </w:r>
          </w:p>
          <w:p>
            <w:r>
              <w:br/>
            </w:r>
            <w:r>
              <w:rPr>
                <w:rStyle w:val="row-content"/>
              </w:rPr>
              <w:t xml:space="preserve">Has been superseded by </w:t>
            </w:r>
            <w:hyperlink w:history="true" r:id="R44cb057ea52f4284">
              <w:r>
                <w:rPr>
                  <w:rStyle w:val="Hyperlink"/>
                </w:rPr>
                <w:t xml:space="preserve">Mental Health Establishments NMDS 2021–22: National Mental Health Establishments Database, 2024; Quality Statement</w:t>
              </w:r>
            </w:hyperlink>
          </w:p>
          <w:p>
            <w:pPr>
              <w:spacing w:before="0" w:after="0"/>
            </w:pPr>
            <w:r>
              <w:rPr>
                <w:rStyle w:val="row-content"/>
                <w:color w:val="244061"/>
              </w:rPr>
              <w:t xml:space="preserve">       </w:t>
            </w:r>
            <w:hyperlink w:history="true" r:id="Rfdd4e447bca8430e">
              <w:r>
                <w:rPr>
                  <w:rStyle w:val="Hyperlink"/>
                  <w:color w:val="244061"/>
                </w:rPr>
                <w:t xml:space="preserve">AIHW Data Quality Statements</w:t>
              </w:r>
            </w:hyperlink>
            <w:r>
              <w:rPr>
                <w:rStyle w:val="row-content"/>
                <w:color w:val="244061"/>
              </w:rPr>
              <w:t xml:space="preserve">, Standard 14/02/2024</w:t>
            </w:r>
          </w:p>
          <w:p>
            <w:r>
              <w:br/>
            </w:r>
            <w:r>
              <w:rPr>
                <w:rStyle w:val="row-content"/>
              </w:rPr>
              <w:t xml:space="preserve">See also </w:t>
            </w:r>
            <w:hyperlink w:history="true" r:id="R2f39d17ab98c4176">
              <w:r>
                <w:rPr>
                  <w:rStyle w:val="Hyperlink"/>
                </w:rPr>
                <w:t xml:space="preserve">Mental health establishments NMDS 2020–21</w:t>
              </w:r>
            </w:hyperlink>
          </w:p>
          <w:p>
            <w:pPr>
              <w:spacing w:before="0" w:after="0"/>
            </w:pPr>
            <w:r>
              <w:rPr>
                <w:rStyle w:val="row-content"/>
                <w:color w:val="244061"/>
              </w:rPr>
              <w:t xml:space="preserve">       </w:t>
            </w:r>
            <w:hyperlink w:history="true" r:id="Rbcfda30f3c414a5c">
              <w:r>
                <w:rPr>
                  <w:rStyle w:val="Hyperlink"/>
                  <w:color w:val="244061"/>
                </w:rPr>
                <w:t xml:space="preserve">Health</w:t>
              </w:r>
            </w:hyperlink>
            <w:r>
              <w:rPr>
                <w:rStyle w:val="row-content"/>
                <w:color w:val="244061"/>
              </w:rPr>
              <w:t xml:space="preserve">, Superseded 20/01/2021</w:t>
            </w:r>
          </w:p>
          <w:p>
            <w:r>
              <w:br/>
            </w:r>
          </w:p>
        </w:tc>
      </w:tr>
    </w:tbl>
    <w:p>
      <w:r>
        <w:br/>
      </w:r>
    </w:p>
    <w:sectPr>
      <w:footerReference xmlns:r="http://schemas.openxmlformats.org/officeDocument/2006/relationships" w:type="default" r:id="R5f0aabb0ae2c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c38f4c140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aabb0ae2c40e0" /><Relationship Type="http://schemas.openxmlformats.org/officeDocument/2006/relationships/header" Target="/word/header1.xml" Id="R171ff8f99b624c48" /><Relationship Type="http://schemas.openxmlformats.org/officeDocument/2006/relationships/settings" Target="/word/settings.xml" Id="R4429fde7a8f0451b" /><Relationship Type="http://schemas.openxmlformats.org/officeDocument/2006/relationships/styles" Target="/word/styles.xml" Id="R33b31a7914f949ff" /><Relationship Type="http://schemas.openxmlformats.org/officeDocument/2006/relationships/hyperlink" Target="https://meteor.aihw.gov.au/RegistrationAuthority/5" TargetMode="External" Id="R24d88fcf03f14984" /><Relationship Type="http://schemas.openxmlformats.org/officeDocument/2006/relationships/numbering" Target="/word/numbering.xml" Id="R96a8f1f9c198468f" /><Relationship Type="http://schemas.openxmlformats.org/officeDocument/2006/relationships/hyperlink" Target="https://www.legislation.gov.au/Details/C2018C00474" TargetMode="External" Id="Rcc76de9c087e4d43" /><Relationship Type="http://schemas.openxmlformats.org/officeDocument/2006/relationships/hyperlink" Target="https://www.aihw.gov.au/about-us/our-governance" TargetMode="External" Id="R9ed1b9bfe5c94187" /><Relationship Type="http://schemas.openxmlformats.org/officeDocument/2006/relationships/hyperlink" Target="https://www.legislation.gov.au/series/C2004A03712" TargetMode="External" Id="R57d2c4a46e684f4d" /><Relationship Type="http://schemas.openxmlformats.org/officeDocument/2006/relationships/hyperlink" Target="http://www.aihw.gov.au/about-us" TargetMode="External" Id="R355d8d412d754abd" /><Relationship Type="http://schemas.openxmlformats.org/officeDocument/2006/relationships/hyperlink" Target="http://www.aihw.gov.au/about-us/our-governance" TargetMode="External" Id="Rfa19c9f3577d48dd" /><Relationship Type="http://schemas.openxmlformats.org/officeDocument/2006/relationships/hyperlink" Target="http://www.aihw.gov.au/about-us/our-vision-and-strategic-goals" TargetMode="External" Id="Rb540891e060642cb" /><Relationship Type="http://schemas.openxmlformats.org/officeDocument/2006/relationships/hyperlink" Target="https://meteor.aihw.gov.au/content/182135" TargetMode="External" Id="R21c4157619b64058" /><Relationship Type="http://schemas.openxmlformats.org/officeDocument/2006/relationships/hyperlink" Target="https://meteor.aihw.gov.au/content/722221" TargetMode="External" Id="Rf1197bd3febf4a3e" /><Relationship Type="http://schemas.openxmlformats.org/officeDocument/2006/relationships/hyperlink" Target="https://meteor.aihw.gov.au/content/722224" TargetMode="External" Id="R5507ac78d1224a8f" /><Relationship Type="http://schemas.openxmlformats.org/officeDocument/2006/relationships/hyperlink" Target="https://meteor.aihw.gov.au/content/713850" TargetMode="External" Id="R2eed36cba40d42ba" /><Relationship Type="http://schemas.openxmlformats.org/officeDocument/2006/relationships/hyperlink" Target="https://www.amhocn.org/background/nocc-what-it" TargetMode="External" Id="R5748dae233784c3d" /><Relationship Type="http://schemas.openxmlformats.org/officeDocument/2006/relationships/hyperlink" Target="https://www.aihw.gov.au/mhsa" TargetMode="External" Id="R1811c6577b9646b4" /><Relationship Type="http://schemas.openxmlformats.org/officeDocument/2006/relationships/hyperlink" Target="https://www.aihw.gov.au/mhsa" TargetMode="External" Id="R3b96a2da0da6431d" /><Relationship Type="http://schemas.openxmlformats.org/officeDocument/2006/relationships/hyperlink" Target="https://meteor.aihw.gov.au/" TargetMode="External" Id="R2faa9c64ae4f4053" /><Relationship Type="http://schemas.openxmlformats.org/officeDocument/2006/relationships/hyperlink" Target="https://meteor.aihw.gov.au/content/682403" TargetMode="External" Id="R801ff1cecce64257" /><Relationship Type="http://schemas.openxmlformats.org/officeDocument/2006/relationships/hyperlink" Target="https://meteor.aihw.gov.au/content/288889" TargetMode="External" Id="R19b06efa925c4dd4" /><Relationship Type="http://schemas.openxmlformats.org/officeDocument/2006/relationships/hyperlink" Target="https://meteor.aihw.gov.au/content/493347" TargetMode="External" Id="Rbf7e32a2ddb44824" /><Relationship Type="http://schemas.openxmlformats.org/officeDocument/2006/relationships/hyperlink" Target="https://meteor.aihw.gov.au/content/722190" TargetMode="External" Id="R48c919aa72954335" /><Relationship Type="http://schemas.openxmlformats.org/officeDocument/2006/relationships/hyperlink" Target="https://meteor.aihw.gov.au/content/751353" TargetMode="External" Id="Rb6bb8a0b17b541b9" /><Relationship Type="http://schemas.openxmlformats.org/officeDocument/2006/relationships/hyperlink" Target="https://meteor.aihw.gov.au/RegistrationAuthority/5" TargetMode="External" Id="R1df4e536f4714f8f" /><Relationship Type="http://schemas.openxmlformats.org/officeDocument/2006/relationships/hyperlink" Target="https://meteor.aihw.gov.au/content/785322" TargetMode="External" Id="R44cb057ea52f4284" /><Relationship Type="http://schemas.openxmlformats.org/officeDocument/2006/relationships/hyperlink" Target="https://meteor.aihw.gov.au/RegistrationAuthority/5" TargetMode="External" Id="Rfdd4e447bca8430e" /><Relationship Type="http://schemas.openxmlformats.org/officeDocument/2006/relationships/hyperlink" Target="https://meteor.aihw.gov.au/content/722168" TargetMode="External" Id="R2f39d17ab98c4176" /><Relationship Type="http://schemas.openxmlformats.org/officeDocument/2006/relationships/hyperlink" Target="https://meteor.aihw.gov.au/RegistrationAuthority/12" TargetMode="External" Id="Rbcfda30f3c414a5c" /></Relationships>
</file>

<file path=word/_rels/header1.xml.rels>&#65279;<?xml version="1.0" encoding="utf-8"?><Relationships xmlns="http://schemas.openxmlformats.org/package/2006/relationships"><Relationship Type="http://schemas.openxmlformats.org/officeDocument/2006/relationships/image" Target="/media/image.png" Id="R479c38f4c14041fb" /></Relationships>
</file>