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34d2120b0b48a5"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2020–21: National Community Mental Health Care Database, 2022;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2020–21: National Community Mental Health Care Database, 2022;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e9be38c91b4068">
              <w:r>
                <w:rPr>
                  <w:rStyle w:val="Hyperlink"/>
                  <w:color w:val="244061"/>
                </w:rPr>
                <w:t xml:space="preserve">AIHW Data Quality Statements</w:t>
              </w:r>
            </w:hyperlink>
            <w:r>
              <w:rPr>
                <w:rStyle w:val="row-content"/>
                <w:color w:val="244061"/>
              </w:rPr>
              <w:t xml:space="preserve">, Superseded 08/12/2023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w:t>
            </w:r>
          </w:p>
          <w:p>
            <w:pPr>
              <w:pStyle w:val="ListParagraph"/>
              <w:numPr>
                <w:ilvl w:val="0"/>
                <w:numId w:val="2"/>
              </w:numPr>
            </w:pPr>
            <w:r>
              <w:rPr>
                <w:rStyle w:val="row-content-rich-text"/>
              </w:rPr>
              <w:t xml:space="preserve">There is some variation in the types of service contacts included in the data. For example, some states or territories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quality of Indigenous identification across jurisdictions reporting to the database. While all states and territories consider the quality of Indigenous status data to be acceptable, most acknowledge that further improvement is required. Indigenous status is missing for 4.9% of contacts in the 2020–21 NCMHCD.</w:t>
            </w:r>
          </w:p>
          <w:p>
            <w:pPr>
              <w:pStyle w:val="ListParagraph"/>
              <w:numPr>
                <w:ilvl w:val="0"/>
                <w:numId w:val="2"/>
              </w:numPr>
            </w:pPr>
            <w:r>
              <w:rPr>
                <w:rStyle w:val="row-content-rich-text"/>
              </w:rPr>
              <w:t xml:space="preserve">Data are reported by the jurisdiction that delivered the service and therefore may include people receiving services in one jurisdiction who reside in another. These cross-border flows are particularly relevant when interpreting ACT remoteness data.</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w:t>
            </w:r>
          </w:p>
          <w:p>
            <w:pPr>
              <w:spacing w:after="160"/>
            </w:pPr>
            <w:r>
              <w:rPr>
                <w:rStyle w:val="row-content-rich-text"/>
                <w:b/>
              </w:rPr>
              <w:t xml:space="preserve">Description</w:t>
            </w:r>
          </w:p>
          <w:p>
            <w:pPr>
              <w:spacing w:after="160"/>
            </w:pPr>
            <w:r>
              <w:rPr>
                <w:rStyle w:val="row-content-rich-text"/>
              </w:rPr>
              <w:t xml:space="preserve">The NCMHCD contains data on community (also sometimes termed "ambulatory") mental health service contacts provided by government-funded community mental health care services as specified by the </w:t>
            </w:r>
            <w:hyperlink w:history="true" r:id="Rf8ab42b292d04723">
              <w:r>
                <w:rPr>
                  <w:rStyle w:val="Hyperlink"/>
                </w:rPr>
                <w:t xml:space="preserve">Community mental health care (CMHC) National Minimum Data Set (NMDS)</w:t>
              </w:r>
            </w:hyperlink>
            <w:r>
              <w:rPr>
                <w:rStyle w:val="row-content-rich-text"/>
              </w:rPr>
              <w:t xml:space="preserve">. The NCMHCD includes data for each year from 2000–01 to 2020–21.</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f4d5191653b54e23">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history="true" r:id="Rafaeca0151bb485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ce549a7d7ab84834">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b26ed7e8aae84bc5">
              <w:r>
                <w:rPr>
                  <w:rStyle w:val="Hyperlink"/>
                </w:rPr>
                <w:t xml:space="preserve">www.aihw.gov.au/about-us</w:t>
              </w:r>
            </w:hyperlink>
            <w:r>
              <w:rPr>
                <w:rStyle w:val="row-content-rich-text"/>
              </w:rPr>
              <w:t xml:space="preserve">, which includes details about the AIHW's governance (</w:t>
            </w:r>
            <w:hyperlink w:history="true" r:id="R908cad01f1cb4d1f">
              <w:r>
                <w:rPr>
                  <w:rStyle w:val="Hyperlink"/>
                </w:rPr>
                <w:t xml:space="preserve">www.aihw.gov.au/about-us/our-governance</w:t>
              </w:r>
            </w:hyperlink>
            <w:r>
              <w:rPr>
                <w:rStyle w:val="row-content-rich-text"/>
              </w:rPr>
              <w:t xml:space="preserve">) and vision and strategic goals (</w:t>
            </w:r>
            <w:hyperlink w:history="true" r:id="R88cf1b415aa54bf3">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w:t>
            </w:r>
            <w:hyperlink w:history="true" r:id="Rf82302e0d23b4e1c">
              <w:r>
                <w:rPr>
                  <w:rStyle w:val="Hyperlink"/>
                </w:rPr>
                <w:t xml:space="preserve">National Health Information Agreement </w:t>
              </w:r>
            </w:hyperlink>
            <w:r>
              <w:rPr>
                <w:rStyle w:val="row-content-rich-text"/>
              </w:rPr>
              <w:t xml:space="preserve">, as specified by the CMHC NMDS.</w:t>
            </w:r>
          </w:p>
          <w:p>
            <w:pPr/>
            <w:r>
              <w:rPr>
                <w:rStyle w:val="row-content-rich-text"/>
              </w:rPr>
              <w:t xml:space="preserve">Expenditure and resource information for community mental health services reporting to the NCMHCD are reported through the associated </w:t>
            </w:r>
            <w:hyperlink w:history="true" r:id="R09f4049ad30d4d2a">
              <w:r>
                <w:rPr>
                  <w:rStyle w:val="Hyperlink"/>
                </w:rPr>
                <w:t xml:space="preserve">MHE NMDS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2020–21, that is, service contacts provided between 1 July 2020 and 30 June 2021. Data for the 2020–21 reference period were supplied to the AIHW at the end of January 2022.</w:t>
            </w:r>
          </w:p>
          <w:p>
            <w:pPr/>
            <w:r>
              <w:rPr>
                <w:rStyle w:val="row-content-rich-text"/>
              </w:rPr>
              <w:t xml:space="preserve">The AIHW publishes data from the NCMHCD in </w:t>
            </w:r>
            <w:hyperlink w:history="true" r:id="R0f4dc635d04e4812">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hyperlink w:history="true" r:id="Rfee24070bb194d74">
              <w:r>
                <w:rPr>
                  <w:rStyle w:val="Hyperlink"/>
                </w:rPr>
                <w:t xml:space="preserve">Mental health services in Australia</w:t>
              </w:r>
            </w:hyperlink>
            <w:r>
              <w:rPr>
                <w:rStyle w:val="row-content-rich-text"/>
              </w:rPr>
              <w:t xml:space="preserve">, primarily as an online publication. This includes pdf documents of all sections in the publication, as well as data workbooks and an interactive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 — METEOR.</w:t>
            </w:r>
          </w:p>
          <w:p>
            <w:pPr>
              <w:spacing w:after="160"/>
            </w:pPr>
            <w:r>
              <w:rPr>
                <w:rStyle w:val="row-content-rich-text"/>
              </w:rPr>
              <w:t xml:space="preserve">METEOR can be accessed on the AIHW website:</w:t>
            </w:r>
          </w:p>
          <w:p>
            <w:hyperlink w:history="true" r:id="R6ee14ad902144df6">
              <w:r>
                <w:rPr>
                  <w:rStyle w:val="Hyperlink"/>
                </w:rPr>
                <w:t xml:space="preserve">http://meteor.aihw.gov.au</w:t>
              </w:r>
            </w:hyperlink>
          </w:p>
          <w:p>
            <w:pPr/>
            <w:r>
              <w:rPr>
                <w:rStyle w:val="row-content-rich-text"/>
              </w:rPr>
              <w:t xml:space="preserve">Data published annually in Mental health services in Australia includes caveated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mental health service contacts provided by community mental health care services, as specified by the CMHC NMDS. The scope for this collection is all government-funded and operated community mental health care services in Australia.</w:t>
            </w:r>
          </w:p>
          <w:p>
            <w:pPr>
              <w:spacing w:after="160"/>
            </w:pPr>
            <w:r>
              <w:rPr>
                <w:rStyle w:val="row-content-rich-text"/>
              </w:rPr>
              <w:t xml:space="preserve">A mental health service contact, for the purposes of this collection, is defined as:</w:t>
            </w:r>
          </w:p>
          <w:p>
            <w:pPr>
              <w:pStyle w:val="ListParagraph"/>
              <w:numPr>
                <w:ilvl w:val="0"/>
                <w:numId w:val="3"/>
              </w:numPr>
            </w:pPr>
            <w:r>
              <w:rPr>
                <w:rStyle w:val="row-content-rich-text"/>
              </w:rPr>
              <w:t xml:space="preserve">The provision of a clinically significant service by a specialised mental health service provider for patients/clients,</w:t>
            </w:r>
          </w:p>
          <w:p>
            <w:pPr>
              <w:pStyle w:val="ListParagraph"/>
              <w:numPr>
                <w:ilvl w:val="0"/>
                <w:numId w:val="3"/>
              </w:numPr>
            </w:pPr>
            <w:r>
              <w:rPr>
                <w:rStyle w:val="row-content-rich-text"/>
              </w:rPr>
              <w:t xml:space="preserve">Excepting those admitted to psychiatric hospitals or designated psychiatric units in acute care hospitals, and,</w:t>
            </w:r>
          </w:p>
          <w:p>
            <w:pPr>
              <w:pStyle w:val="ListParagraph"/>
              <w:numPr>
                <w:ilvl w:val="0"/>
                <w:numId w:val="3"/>
              </w:numPr>
            </w:pPr>
            <w:r>
              <w:rPr>
                <w:rStyle w:val="row-content-rich-text"/>
              </w:rPr>
              <w:t xml:space="preserve">Excepting those resident in 24-hour staffed specialised residential mental health services, where the nature of the service would normally warrant a dated entry in the clinical record of the patient/client in question.</w:t>
            </w:r>
          </w:p>
          <w:p>
            <w:pPr/>
            <w:r>
              <w:rPr>
                <w:rStyle w:val="row-content-rich-text"/>
              </w:rPr>
              <w:t xml:space="preserve">Any one patient can have one or more service contacts over the reporting period (that is, 2020–21).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Potential errors are queried with jurisdictions, and corrections and resubmissions to the data may be made in response to these queries. The AIHW does not adjust data to account for possible data errors or missing or incorrect values.</w:t>
            </w:r>
          </w:p>
          <w:p>
            <w:pPr>
              <w:spacing w:after="160"/>
            </w:pPr>
            <w:r>
              <w:rPr>
                <w:rStyle w:val="row-content-rich-text"/>
              </w:rPr>
              <w:t xml:space="preserve">All states estimate that 85–100% of in-scope community mental health care services provided contact data to the collection. Overall service contact data coverage for jurisdictions was estimated to be between 86–100%. </w:t>
            </w:r>
          </w:p>
          <w:p>
            <w:pPr>
              <w:pStyle w:val="ListParagraph"/>
              <w:numPr>
                <w:ilvl w:val="0"/>
                <w:numId w:val="4"/>
              </w:numPr>
            </w:pPr>
            <w:r>
              <w:rPr>
                <w:rStyle w:val="row-content-rich-text"/>
              </w:rPr>
              <w:t xml:space="preserve">New South Wales reported that the coverage of the Justice Health data collection continues to be impacted by difficulties with reporting with a drop in activity during the COVID-19 lockdown period. New South Wales also reported that there are some variations in the way data is collected between the local health districts.</w:t>
            </w:r>
          </w:p>
          <w:p>
            <w:pPr>
              <w:pStyle w:val="ListParagraph"/>
              <w:numPr>
                <w:ilvl w:val="0"/>
                <w:numId w:val="4"/>
              </w:numPr>
            </w:pPr>
            <w:r>
              <w:rPr>
                <w:rStyle w:val="row-content-rich-text"/>
              </w:rPr>
              <w:t xml:space="preserve">Tasmania stated that forensic community mental health contacts are not reported due to ongoing challenges with the information system for the forensic service unit.</w:t>
            </w:r>
          </w:p>
          <w:p>
            <w:pPr>
              <w:pStyle w:val="ListParagraph"/>
              <w:numPr>
                <w:ilvl w:val="0"/>
                <w:numId w:val="4"/>
              </w:numPr>
            </w:pPr>
            <w:r>
              <w:rPr>
                <w:rStyle w:val="row-content-rich-text"/>
              </w:rPr>
              <w:t xml:space="preserve">South Australia reported that a small percentage of contacts may not be recorded for services such as consultation-liaison type services, i.e., some hospital-based ambulatory mental health care services.</w:t>
            </w:r>
          </w:p>
          <w:p>
            <w:pPr>
              <w:spacing w:after="160"/>
            </w:pPr>
            <w:r>
              <w:rPr>
                <w:rStyle w:val="row-content-rich-text"/>
              </w:rPr>
              <w:t xml:space="preserve">Victoria reported that about 5% of contacts were excluded from the submission as a unique client identifier was unable to be generated for these unregistered clients.</w:t>
            </w:r>
          </w:p>
          <w:p>
            <w:pPr>
              <w:spacing w:after="160"/>
            </w:pPr>
            <w:r>
              <w:rPr>
                <w:rStyle w:val="row-content-rich-text"/>
                <w:b/>
                <w:i/>
              </w:rPr>
              <w:t xml:space="preserve">Indigenous status</w:t>
            </w:r>
          </w:p>
          <w:p>
            <w:pPr>
              <w:spacing w:after="160"/>
            </w:pPr>
            <w:r>
              <w:rPr>
                <w:rStyle w:val="row-content-rich-text"/>
              </w:rPr>
              <w:t xml:space="preserve">Data from the NCMHCD on </w:t>
            </w:r>
            <w:r>
              <w:rPr>
                <w:rStyle w:val="row-content-rich-text"/>
                <w:i/>
              </w:rPr>
              <w:t xml:space="preserve">Indigenous status</w:t>
            </w:r>
            <w:r>
              <w:rPr>
                <w:rStyle w:val="row-content-rich-text"/>
              </w:rPr>
              <w:t xml:space="preserve"> should be interpreted with caution. Jurisdictional advice is that the data quality and completeness of Indigenous identification varies. The methodology for the identification of </w:t>
            </w:r>
            <w:r>
              <w:rPr>
                <w:rStyle w:val="row-content-rich-text"/>
                <w:i/>
              </w:rPr>
              <w:t xml:space="preserve">Indigenous status</w:t>
            </w:r>
            <w:r>
              <w:rPr>
                <w:rStyle w:val="row-content-rich-text"/>
              </w:rPr>
              <w:t xml:space="preserve"> varies both between jurisdictions and between services within a jurisdiction. Subsequently, the identification process may result in a different status being recorded among multiple service contacts or between service providers. </w:t>
            </w:r>
            <w:r>
              <w:rPr>
                <w:rStyle w:val="row-content-rich-text"/>
                <w:i/>
              </w:rPr>
              <w:t xml:space="preserve">Indigenous status</w:t>
            </w:r>
            <w:r>
              <w:rPr>
                <w:rStyle w:val="row-content-rich-text"/>
              </w:rPr>
              <w:t xml:space="preserve"> is missing for 4.9% of contacts in the 2020–2021 NCMHCD.</w:t>
            </w:r>
          </w:p>
          <w:p>
            <w:pPr>
              <w:spacing w:after="160"/>
            </w:pPr>
            <w:r>
              <w:rPr>
                <w:rStyle w:val="row-content-rich-text"/>
              </w:rPr>
              <w:t xml:space="preserve">States and territories provided additional information on the quality of the </w:t>
            </w:r>
            <w:r>
              <w:rPr>
                <w:rStyle w:val="row-content-rich-text"/>
                <w:i/>
              </w:rPr>
              <w:t xml:space="preserve">Indigenous status</w:t>
            </w:r>
            <w:r>
              <w:rPr>
                <w:rStyle w:val="row-content-rich-text"/>
              </w:rPr>
              <w:t xml:space="preserve"> data for 2020–21 as follows:</w:t>
            </w:r>
          </w:p>
          <w:p>
            <w:pPr>
              <w:pStyle w:val="ListParagraph"/>
              <w:numPr>
                <w:ilvl w:val="0"/>
                <w:numId w:val="5"/>
              </w:numPr>
            </w:pPr>
            <w:r>
              <w:rPr>
                <w:rStyle w:val="row-content-rich-text"/>
              </w:rPr>
              <w:t xml:space="preserve">All states and territories considered the quality of their </w:t>
            </w:r>
            <w:r>
              <w:rPr>
                <w:rStyle w:val="row-content-rich-text"/>
                <w:i/>
              </w:rPr>
              <w:t xml:space="preserve">Indigenous status</w:t>
            </w:r>
            <w:r>
              <w:rPr>
                <w:rStyle w:val="row-content-rich-text"/>
              </w:rPr>
              <w:t xml:space="preserve"> data to be acceptable.</w:t>
            </w:r>
          </w:p>
          <w:p>
            <w:pPr>
              <w:pStyle w:val="ListParagraph"/>
              <w:numPr>
                <w:ilvl w:val="0"/>
                <w:numId w:val="5"/>
              </w:numPr>
            </w:pPr>
            <w:r>
              <w:rPr>
                <w:rStyle w:val="row-content-rich-text"/>
              </w:rPr>
              <w:t xml:space="preserve">South Australia reported that the quality of </w:t>
            </w:r>
            <w:r>
              <w:rPr>
                <w:rStyle w:val="row-content-rich-text"/>
                <w:i/>
              </w:rPr>
              <w:t xml:space="preserve">Indigenous status</w:t>
            </w:r>
            <w:r>
              <w:rPr>
                <w:rStyle w:val="row-content-rich-text"/>
              </w:rPr>
              <w:t xml:space="preserve"> data was acceptable, but ongoing improvements in data capture validation are being made focusing on demographic items coded as unknown.</w:t>
            </w:r>
          </w:p>
          <w:p>
            <w:pPr>
              <w:pStyle w:val="ListParagraph"/>
              <w:numPr>
                <w:ilvl w:val="0"/>
                <w:numId w:val="5"/>
              </w:numPr>
            </w:pPr>
            <w:r>
              <w:rPr>
                <w:rStyle w:val="row-content-rich-text"/>
              </w:rPr>
              <w:t xml:space="preserve">Victoria noted that industrial action in 2020–21 affected the recording of some contacts with 10% of contacts appearing in two consecutive months.</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is collected in the NCMHCD, however the quality of the data is unknown and should be treated with caution. Reporting of service events with a </w:t>
            </w:r>
            <w:r>
              <w:rPr>
                <w:rStyle w:val="row-content-rich-text"/>
                <w:i/>
              </w:rPr>
              <w:t xml:space="preserve">Mental health legal status</w:t>
            </w:r>
            <w:r>
              <w:rPr>
                <w:rStyle w:val="row-content-rich-text"/>
              </w:rPr>
              <w:t xml:space="preserve"> of involuntary will differ from reporting of treatment orders in the community by state and territory Chief Psychiatrists due to differences in statistical unit, collection scope and jurisdictional data systems.</w:t>
            </w:r>
          </w:p>
          <w:p>
            <w:pPr/>
            <w:r>
              <w:rPr>
                <w:rStyle w:val="row-content-rich-text"/>
              </w:rPr>
              <w:t xml:space="preserve">Legislation governing the use of treatment orders differs between jurisdictions and comparisons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The following definitional changes occurred to the 2020–21 metadata specifications:</w:t>
            </w:r>
          </w:p>
          <w:p>
            <w:pPr>
              <w:pStyle w:val="ListParagraph"/>
              <w:numPr>
                <w:ilvl w:val="0"/>
                <w:numId w:val="6"/>
              </w:numPr>
            </w:pPr>
            <w:r>
              <w:rPr>
                <w:rStyle w:val="row-content-rich-text"/>
              </w:rPr>
              <w:t xml:space="preserve">The most recent classification scheme is the 10</w:t>
            </w:r>
            <w:r>
              <w:rPr>
                <w:rStyle w:val="row-content-rich-text"/>
                <w:vertAlign w:val="superscript"/>
              </w:rPr>
              <w:t xml:space="preserve">th</w:t>
            </w:r>
            <w:r>
              <w:rPr>
                <w:rStyle w:val="row-content-rich-text"/>
              </w:rPr>
              <w:t xml:space="preserve"> Edition of the International Statistical Classification of Diseases and Relate Health Problems, Australian Modification (ICD-10-AM), Eleventh Revision.</w:t>
            </w:r>
          </w:p>
          <w:p>
            <w:pPr>
              <w:spacing w:after="160"/>
            </w:pPr>
            <w:r>
              <w:rPr>
                <w:rStyle w:val="row-content-rich-text"/>
              </w:rPr>
              <w:t xml:space="preserve">There are variations across jurisdictions in the scope and definition of a service contact. For example, most jurisdictions may include consultation and liaison services as service contacts while some consultation-liaison type services provided by South Australian are not included. Queensland and the Northern Territory do not include contacts for unregistered clients.</w:t>
            </w:r>
          </w:p>
          <w:p>
            <w:pPr>
              <w:spacing w:after="160"/>
            </w:pPr>
            <w:r>
              <w:rPr>
                <w:rStyle w:val="row-content-rich-text"/>
                <w:b/>
                <w:i/>
              </w:rPr>
              <w:t xml:space="preserve">Principal diagnosis</w:t>
            </w:r>
          </w:p>
          <w:p>
            <w:pPr>
              <w:spacing w:after="160"/>
            </w:pPr>
            <w:r>
              <w:rPr>
                <w:rStyle w:val="row-content-rich-text"/>
              </w:rPr>
              <w:t xml:space="preserve">The quality of </w:t>
            </w:r>
            <w:r>
              <w:rPr>
                <w:rStyle w:val="row-content-rich-text"/>
                <w:i/>
              </w:rPr>
              <w:t xml:space="preserve">Principal diagnosis</w:t>
            </w:r>
            <w:r>
              <w:rPr>
                <w:rStyle w:val="row-content-rich-text"/>
              </w:rPr>
              <w:t xml:space="preserve"> data in the NCMHCD may be affected by the variability in collection and coding practices across jurisdictions. In particular, there are:</w:t>
            </w:r>
          </w:p>
          <w:p>
            <w:pPr>
              <w:spacing w:after="160"/>
            </w:pPr>
            <w:r>
              <w:rPr>
                <w:rStyle w:val="row-content-rich-text"/>
              </w:rPr>
              <w:t xml:space="preserve">1. Differences in the edition used for classification, as follows:</w:t>
            </w:r>
          </w:p>
          <w:p>
            <w:pPr>
              <w:pStyle w:val="ListParagraph"/>
              <w:numPr>
                <w:ilvl w:val="0"/>
                <w:numId w:val="7"/>
              </w:numPr>
            </w:pPr>
            <w:r>
              <w:rPr>
                <w:rStyle w:val="row-content-rich-text"/>
              </w:rPr>
              <w:t xml:space="preserve">New South Wales, South Australia, and Victoria report that data are submitted in accordance with the ICD-10-AM 11</w:t>
            </w:r>
            <w:r>
              <w:rPr>
                <w:rStyle w:val="row-content-rich-text"/>
                <w:vertAlign w:val="superscript"/>
              </w:rPr>
              <w:t xml:space="preserve">th</w:t>
            </w:r>
            <w:r>
              <w:rPr>
                <w:rStyle w:val="row-content-rich-text"/>
              </w:rPr>
              <w:t xml:space="preserve"> edition. Tasmania reported using ICD-10-AM 11</w:t>
            </w:r>
            <w:r>
              <w:rPr>
                <w:rStyle w:val="row-content-rich-text"/>
                <w:vertAlign w:val="superscript"/>
              </w:rPr>
              <w:t xml:space="preserve">th</w:t>
            </w:r>
            <w:r>
              <w:rPr>
                <w:rStyle w:val="row-content-rich-text"/>
              </w:rPr>
              <w:t xml:space="preserve"> Edition where possible.</w:t>
            </w:r>
          </w:p>
          <w:p>
            <w:pPr>
              <w:pStyle w:val="ListParagraph"/>
              <w:numPr>
                <w:ilvl w:val="0"/>
                <w:numId w:val="7"/>
              </w:numPr>
            </w:pPr>
            <w:r>
              <w:rPr>
                <w:rStyle w:val="row-content-rich-text"/>
              </w:rPr>
              <w:t xml:space="preserve">The Northern Territory and Queensland used ICD-10-AM 10</w:t>
            </w:r>
            <w:r>
              <w:rPr>
                <w:rStyle w:val="row-content-rich-text"/>
                <w:vertAlign w:val="superscript"/>
              </w:rPr>
              <w:t xml:space="preserve">th</w:t>
            </w:r>
            <w:r>
              <w:rPr>
                <w:rStyle w:val="row-content-rich-text"/>
              </w:rPr>
              <w:t xml:space="preserve"> Edition. </w:t>
            </w:r>
          </w:p>
          <w:p>
            <w:pPr>
              <w:pStyle w:val="ListParagraph"/>
              <w:numPr>
                <w:ilvl w:val="0"/>
                <w:numId w:val="7"/>
              </w:numPr>
            </w:pPr>
            <w:r>
              <w:rPr>
                <w:rStyle w:val="row-content-rich-text"/>
              </w:rPr>
              <w:t xml:space="preserve">Western Australia reported that current state-wide mental health information systems use ICD-10-AM 10</w:t>
            </w:r>
            <w:r>
              <w:rPr>
                <w:rStyle w:val="row-content-rich-text"/>
                <w:vertAlign w:val="superscript"/>
              </w:rPr>
              <w:t xml:space="preserve">th</w:t>
            </w:r>
            <w:r>
              <w:rPr>
                <w:rStyle w:val="row-content-rich-text"/>
              </w:rPr>
              <w:t xml:space="preserve"> edition. Patients who were activated prior to this version being implemented and have not had a diagnosis review may use an earlier ICD edition. As such, some mapping of previous ICD diagnosis codes are undertaken for the purposes of NMDS submissions.</w:t>
            </w:r>
          </w:p>
          <w:p>
            <w:pPr>
              <w:pStyle w:val="ListParagraph"/>
              <w:numPr>
                <w:ilvl w:val="0"/>
                <w:numId w:val="7"/>
              </w:numPr>
            </w:pPr>
            <w:r>
              <w:rPr>
                <w:rStyle w:val="row-content-rich-text"/>
              </w:rPr>
              <w:t xml:space="preserve">The Australian Capital Territory reports using ICD-10-AM 9</w:t>
            </w:r>
            <w:r>
              <w:rPr>
                <w:rStyle w:val="row-content-rich-text"/>
                <w:vertAlign w:val="superscript"/>
              </w:rPr>
              <w:t xml:space="preserve">th</w:t>
            </w:r>
            <w:r>
              <w:rPr>
                <w:rStyle w:val="row-content-rich-text"/>
              </w:rPr>
              <w:t xml:space="preserve"> edition.</w:t>
            </w:r>
          </w:p>
          <w:p>
            <w:pPr>
              <w:spacing w:after="160"/>
            </w:pPr>
            <w:r>
              <w:rPr>
                <w:rStyle w:val="row-content-rich-text"/>
              </w:rPr>
              <w:t xml:space="preserve">2. Differences according to the size of the facility (for example, large versus small) in the ability to accurately code </w:t>
            </w:r>
            <w:r>
              <w:rPr>
                <w:rStyle w:val="row-content-rich-text"/>
                <w:i/>
              </w:rPr>
              <w:t xml:space="preserve">Principal diagnosis</w:t>
            </w:r>
            <w:r>
              <w:rPr>
                <w:rStyle w:val="row-content-rich-text"/>
              </w:rPr>
              <w:t xml:space="preserve">.</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spacing w:after="160"/>
            </w:pPr>
            <w:r>
              <w:rPr>
                <w:rStyle w:val="row-content-rich-text"/>
              </w:rPr>
              <w:t xml:space="preserve">4. Differences according to whether the principal diagnosis is applied to an individual service contact or to a period of care.</w:t>
            </w:r>
          </w:p>
          <w:p>
            <w:pPr>
              <w:pStyle w:val="ListParagraph"/>
              <w:numPr>
                <w:ilvl w:val="0"/>
                <w:numId w:val="8"/>
              </w:numPr>
            </w:pPr>
            <w:r>
              <w:rPr>
                <w:rStyle w:val="row-content-rich-text"/>
              </w:rPr>
              <w:t xml:space="preserve">New South Wales and the Australian Capital Territory report the current diagnosis for each service contact rather than a principal diagnosis for a longer period of care.</w:t>
            </w:r>
          </w:p>
          <w:p>
            <w:pPr>
              <w:pStyle w:val="ListParagraph"/>
              <w:numPr>
                <w:ilvl w:val="0"/>
                <w:numId w:val="8"/>
              </w:numPr>
            </w:pPr>
            <w:r>
              <w:rPr>
                <w:rStyle w:val="row-content-rich-text"/>
              </w:rPr>
              <w:t xml:space="preserve">All other jurisdictions report principal diagnosis as applying to a longer period of care.</w:t>
            </w:r>
          </w:p>
          <w:p>
            <w:pPr>
              <w:spacing w:after="160"/>
            </w:pPr>
            <w:r>
              <w:rPr>
                <w:rStyle w:val="row-content-rich-text"/>
                <w:b/>
                <w:i/>
              </w:rPr>
              <w:t xml:space="preserve">Comparability over time</w:t>
            </w:r>
          </w:p>
          <w:p>
            <w:pPr>
              <w:spacing w:after="160"/>
            </w:pPr>
            <w:r>
              <w:rPr>
                <w:rStyle w:val="row-content-rich-text"/>
              </w:rPr>
              <w:t xml:space="preserve">Comparability of NCMHCD data over time can be variable. Changes to reporting practices, upgrades to information systems and revisions to data mean comparison between years should be made with caution.</w:t>
            </w:r>
          </w:p>
          <w:p>
            <w:pPr>
              <w:spacing w:after="160"/>
            </w:pPr>
            <w:r>
              <w:rPr>
                <w:rStyle w:val="row-content-rich-text"/>
              </w:rPr>
              <w:t xml:space="preserve">For 2019–20, New South Wales reported reduced data coverage due to the introduction of a new system in the Justice Health network.</w:t>
            </w:r>
          </w:p>
          <w:p>
            <w:pPr>
              <w:spacing w:after="160"/>
            </w:pPr>
            <w:r>
              <w:rPr>
                <w:rStyle w:val="row-content-rich-text"/>
              </w:rPr>
              <w:t xml:space="preserve">Tasmania experienced industrial action which impacted the 2018–19 and part of the 2019–20 reporting periods.</w:t>
            </w:r>
          </w:p>
          <w:p>
            <w:pPr>
              <w:spacing w:after="160"/>
            </w:pPr>
            <w:r>
              <w:rPr>
                <w:rStyle w:val="row-content-rich-text"/>
              </w:rPr>
              <w:t xml:space="preserve">In 2020–21 States and territories provided additional information as follows:</w:t>
            </w:r>
          </w:p>
          <w:p>
            <w:pPr>
              <w:pStyle w:val="ListParagraph"/>
              <w:numPr>
                <w:ilvl w:val="0"/>
                <w:numId w:val="9"/>
              </w:numPr>
            </w:pPr>
            <w:r>
              <w:rPr>
                <w:rStyle w:val="row-content-rich-text"/>
              </w:rPr>
              <w:t xml:space="preserve">Industrial action in Victoria in 2020–21 affected recording of some contacts; 10% of the contacts appeared in two consecutive months.</w:t>
            </w:r>
          </w:p>
          <w:p>
            <w:pPr>
              <w:pStyle w:val="ListParagraph"/>
              <w:numPr>
                <w:ilvl w:val="0"/>
                <w:numId w:val="9"/>
              </w:numPr>
            </w:pPr>
            <w:r>
              <w:rPr>
                <w:rStyle w:val="row-content-rich-text"/>
              </w:rPr>
              <w:t xml:space="preserve">Queensland has observed meaningful increases in year on year quarterly service contact data in line with key components of the pandemic i.e., COVID-19 case waves and public health responses e.g., April to June 2020, July to September 2021. It is noted that in the April to June 2021 quarter there was a decrease in service contacts in comparison to the same quarter in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fd79cd0d45473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fb09c9164844aa">
              <w:r>
                <w:rPr>
                  <w:rStyle w:val="Hyperlink"/>
                </w:rPr>
                <w:t xml:space="preserve">Community mental health care NMDS 2019–20: National Community Mental Health Care Database, 2021; Quality Statement</w:t>
              </w:r>
            </w:hyperlink>
          </w:p>
          <w:p>
            <w:pPr>
              <w:spacing w:before="0" w:after="0"/>
            </w:pPr>
            <w:r>
              <w:rPr>
                <w:rStyle w:val="row-content"/>
                <w:color w:val="244061"/>
              </w:rPr>
              <w:t xml:space="preserve">       </w:t>
            </w:r>
            <w:hyperlink w:history="true" r:id="R7264c79916fa4a38">
              <w:r>
                <w:rPr>
                  <w:rStyle w:val="Hyperlink"/>
                  <w:color w:val="244061"/>
                </w:rPr>
                <w:t xml:space="preserve">AIHW Data Quality Statements</w:t>
              </w:r>
            </w:hyperlink>
            <w:r>
              <w:rPr>
                <w:rStyle w:val="row-content"/>
                <w:color w:val="244061"/>
              </w:rPr>
              <w:t xml:space="preserve">, Superseded 10/11/2022</w:t>
            </w:r>
          </w:p>
          <w:p>
            <w:r>
              <w:br/>
            </w:r>
            <w:r>
              <w:rPr>
                <w:rStyle w:val="row-content"/>
              </w:rPr>
              <w:t xml:space="preserve">Has been superseded by </w:t>
            </w:r>
            <w:hyperlink w:history="true" r:id="R54cee1b279bc4271">
              <w:r>
                <w:rPr>
                  <w:rStyle w:val="Hyperlink"/>
                </w:rPr>
                <w:t xml:space="preserve">Community mental health care NMDS 2021–22: National Community Mental Health Care Database, 2023; Quality Statement</w:t>
              </w:r>
            </w:hyperlink>
          </w:p>
          <w:p>
            <w:pPr>
              <w:spacing w:before="0" w:after="0"/>
            </w:pPr>
            <w:r>
              <w:rPr>
                <w:rStyle w:val="row-content"/>
                <w:color w:val="244061"/>
              </w:rPr>
              <w:t xml:space="preserve">       </w:t>
            </w:r>
            <w:hyperlink w:history="true" r:id="Rd7f4a8936b854974">
              <w:r>
                <w:rPr>
                  <w:rStyle w:val="Hyperlink"/>
                  <w:color w:val="244061"/>
                </w:rPr>
                <w:t xml:space="preserve">AIHW Data Quality Statements</w:t>
              </w:r>
            </w:hyperlink>
            <w:r>
              <w:rPr>
                <w:rStyle w:val="row-content"/>
                <w:color w:val="244061"/>
              </w:rPr>
              <w:t xml:space="preserve">, Standard 08/12/2023</w:t>
            </w:r>
          </w:p>
          <w:p>
            <w:r>
              <w:br/>
            </w:r>
            <w:r>
              <w:rPr>
                <w:rStyle w:val="row-content"/>
              </w:rPr>
              <w:t xml:space="preserve">See also </w:t>
            </w:r>
            <w:hyperlink w:history="true" r:id="R705bc6c8c6144013">
              <w:r>
                <w:rPr>
                  <w:rStyle w:val="Hyperlink"/>
                </w:rPr>
                <w:t xml:space="preserve">Community mental health care NMDS 2020–21</w:t>
              </w:r>
            </w:hyperlink>
          </w:p>
          <w:p>
            <w:pPr>
              <w:spacing w:before="0" w:after="0"/>
            </w:pPr>
            <w:r>
              <w:rPr>
                <w:rStyle w:val="row-content"/>
                <w:color w:val="244061"/>
              </w:rPr>
              <w:t xml:space="preserve">       </w:t>
            </w:r>
            <w:hyperlink w:history="true" r:id="R48e90df7b8984097">
              <w:r>
                <w:rPr>
                  <w:rStyle w:val="Hyperlink"/>
                  <w:color w:val="244061"/>
                </w:rPr>
                <w:t xml:space="preserve">Health</w:t>
              </w:r>
            </w:hyperlink>
            <w:r>
              <w:rPr>
                <w:rStyle w:val="row-content"/>
                <w:color w:val="244061"/>
              </w:rPr>
              <w:t xml:space="preserve">, Superseded 20/01/2021</w:t>
            </w:r>
          </w:p>
          <w:p>
            <w:r>
              <w:br/>
            </w:r>
          </w:p>
        </w:tc>
      </w:tr>
    </w:tbl>
    <w:p>
      <w:r>
        <w:br/>
      </w:r>
    </w:p>
    <w:sectPr>
      <w:footerReference xmlns:r="http://schemas.openxmlformats.org/officeDocument/2006/relationships" w:type="default" r:id="Rbde2d278f2ac43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764449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32cb25f12149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e2d278f2ac430a" /><Relationship Type="http://schemas.openxmlformats.org/officeDocument/2006/relationships/header" Target="/word/header1.xml" Id="R4d2eac5d6a7e456a" /><Relationship Type="http://schemas.openxmlformats.org/officeDocument/2006/relationships/settings" Target="/word/settings.xml" Id="Rf57569b97d884e50" /><Relationship Type="http://schemas.openxmlformats.org/officeDocument/2006/relationships/styles" Target="/word/styles.xml" Id="Rc88fb2f3e98048a1" /><Relationship Type="http://schemas.openxmlformats.org/officeDocument/2006/relationships/hyperlink" Target="https://meteor.aihw.gov.au/RegistrationAuthority/5" TargetMode="External" Id="R00e9be38c91b4068" /><Relationship Type="http://schemas.openxmlformats.org/officeDocument/2006/relationships/numbering" Target="/word/numbering.xml" Id="R63971e05cb4e4439" /><Relationship Type="http://schemas.openxmlformats.org/officeDocument/2006/relationships/hyperlink" Target="https://meteor.aihw.gov.au/content/722221" TargetMode="External" Id="Rf8ab42b292d04723" /><Relationship Type="http://schemas.openxmlformats.org/officeDocument/2006/relationships/hyperlink" Target="https://www.legislation.gov.au/Details/C2018C00474" TargetMode="External" Id="Rf4d5191653b54e23" /><Relationship Type="http://schemas.openxmlformats.org/officeDocument/2006/relationships/hyperlink" Target="https://www.aihw.gov.au/about-us/our-governance" TargetMode="External" Id="Rafaeca0151bb4857" /><Relationship Type="http://schemas.openxmlformats.org/officeDocument/2006/relationships/hyperlink" Target="https://www.legislation.gov.au/series/C2011C00503" TargetMode="External" Id="Rce549a7d7ab84834" /><Relationship Type="http://schemas.openxmlformats.org/officeDocument/2006/relationships/hyperlink" Target="http://www.aihw.gov.au/about-us" TargetMode="External" Id="Rb26ed7e8aae84bc5" /><Relationship Type="http://schemas.openxmlformats.org/officeDocument/2006/relationships/hyperlink" Target="http://www.aihw.gov.au/about-us/our-governance" TargetMode="External" Id="R908cad01f1cb4d1f" /><Relationship Type="http://schemas.openxmlformats.org/officeDocument/2006/relationships/hyperlink" Target="http://www.aihw.gov.au/about-us/our-vision-and-strategic-goals" TargetMode="External" Id="R88cf1b415aa54bf3" /><Relationship Type="http://schemas.openxmlformats.org/officeDocument/2006/relationships/hyperlink" Target="https://meteor.aihw.gov.au/content/182135" TargetMode="External" Id="Rf82302e0d23b4e1c" /><Relationship Type="http://schemas.openxmlformats.org/officeDocument/2006/relationships/hyperlink" Target="https://meteor.aihw.gov.au/content/722168" TargetMode="External" Id="R09f4049ad30d4d2a" /><Relationship Type="http://schemas.openxmlformats.org/officeDocument/2006/relationships/hyperlink" Target="https://www.aihw.gov.au/reports/mental-health-services/mental-health-services-in-australia/report-contents/summary" TargetMode="External" Id="R0f4dc635d04e4812" /><Relationship Type="http://schemas.openxmlformats.org/officeDocument/2006/relationships/hyperlink" Target="https://www.aihw.gov.au/reports/mental-health-services/mental-health-services-in-australia/report-contents/summary" TargetMode="External" Id="Rfee24070bb194d74" /><Relationship Type="http://schemas.openxmlformats.org/officeDocument/2006/relationships/hyperlink" Target="https://meteor.aihw.gov.au/content/181162" TargetMode="External" Id="R6ee14ad902144df6" /><Relationship Type="http://schemas.openxmlformats.org/officeDocument/2006/relationships/hyperlink" Target="https://meteor.aihw.gov.au/content/246013" TargetMode="External" Id="R2bfd79cd0d45473d" /><Relationship Type="http://schemas.openxmlformats.org/officeDocument/2006/relationships/hyperlink" Target="https://meteor.aihw.gov.au/content/742292" TargetMode="External" Id="R61fb09c9164844aa" /><Relationship Type="http://schemas.openxmlformats.org/officeDocument/2006/relationships/hyperlink" Target="https://meteor.aihw.gov.au/RegistrationAuthority/5" TargetMode="External" Id="R7264c79916fa4a38" /><Relationship Type="http://schemas.openxmlformats.org/officeDocument/2006/relationships/hyperlink" Target="https://meteor.aihw.gov.au/content/780645" TargetMode="External" Id="R54cee1b279bc4271" /><Relationship Type="http://schemas.openxmlformats.org/officeDocument/2006/relationships/hyperlink" Target="https://meteor.aihw.gov.au/RegistrationAuthority/5" TargetMode="External" Id="Rd7f4a8936b854974" /><Relationship Type="http://schemas.openxmlformats.org/officeDocument/2006/relationships/hyperlink" Target="https://meteor.aihw.gov.au/content/722221" TargetMode="External" Id="R705bc6c8c6144013" /><Relationship Type="http://schemas.openxmlformats.org/officeDocument/2006/relationships/hyperlink" Target="https://meteor.aihw.gov.au/RegistrationAuthority/12" TargetMode="External" Id="R48e90df7b8984097" /></Relationships>
</file>

<file path=word/_rels/header1.xml.rels>&#65279;<?xml version="1.0" encoding="utf-8"?><Relationships xmlns="http://schemas.openxmlformats.org/package/2006/relationships"><Relationship Type="http://schemas.openxmlformats.org/officeDocument/2006/relationships/image" Target="/media/image.png" Id="R4e32cb25f1214916" /></Relationships>
</file>