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488771933414575"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2021;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2021;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e56ebe45f84263">
              <w:r>
                <w:rPr>
                  <w:rStyle w:val="Hyperlink"/>
                  <w:color w:val="244061"/>
                </w:rPr>
                <w:t xml:space="preserve">AIHW Data Quality Statements</w:t>
              </w:r>
            </w:hyperlink>
            <w:r>
              <w:rPr>
                <w:rStyle w:val="row-content"/>
                <w:color w:val="244061"/>
              </w:rPr>
              <w:t xml:space="preserve">, Superseded 10/10/2023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audiology services for children aged 0–15. Although all Indigenous children and young people aged 0–21 in the Northern Territory are eligible to receive these services, the AIHW mainly has data for people aged up to 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9,500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2021, for about 9% of service participants who were able to complete audiology assessments, their hearing loss status was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4ec029de1b354836">
              <w:r>
                <w:rPr>
                  <w:rStyle w:val="Hyperlink"/>
                  <w:i/>
                </w:rPr>
                <w:t xml:space="preserve">Australian Institute of Health and Welfare Act 1987</w:t>
              </w:r>
            </w:hyperlink>
            <w:r>
              <w:rPr>
                <w:rStyle w:val="row-content-rich-text"/>
              </w:rPr>
              <w:t xml:space="preserve"> (AIHW Act), governed by a </w:t>
            </w:r>
            <w:hyperlink w:tooltip="Board" w:history="true" r:id="Radef6c57f4384d2a">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de312d2242b54617">
              <w:r>
                <w:rPr>
                  <w:rStyle w:val="Hyperlink"/>
                  <w:i/>
                </w:rPr>
                <w:t xml:space="preserve">Privacy Act 1988</w:t>
              </w:r>
            </w:hyperlink>
            <w:r>
              <w:rPr>
                <w:rStyle w:val="row-content-rich-text"/>
                <w:i/>
              </w:rPr>
              <w:t xml:space="preserve"> </w:t>
            </w:r>
            <w:r>
              <w:rPr>
                <w:rStyle w:val="row-content-rich-text"/>
              </w:rPr>
              <w:t xml:space="preserve">(Cth), and AIHW's data governance arrangements</w:t>
            </w:r>
            <w:r>
              <w:rPr>
                <w:rStyle w:val="row-content-rich-text"/>
              </w:rPr>
              <w:t xml:space="preserve"> </w:t>
            </w:r>
            <w:r>
              <w:rPr>
                <w:rStyle w:val="row-content-rich-text"/>
              </w:rPr>
              <w:t xml:space="preserve">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5ad599bc13524c67">
              <w:r>
                <w:rPr>
                  <w:rStyle w:val="Hyperlink"/>
                </w:rPr>
                <w:t xml:space="preserve">www.aihw.gov.au/about-us</w:t>
              </w:r>
            </w:hyperlink>
            <w:r>
              <w:rPr>
                <w:rStyle w:val="row-content-rich-text"/>
              </w:rPr>
              <w:t xml:space="preserve">), which includes details about the AIHW's governance (</w:t>
            </w:r>
            <w:hyperlink w:history="true" r:id="Re9d48eff01984bfe">
              <w:r>
                <w:rPr>
                  <w:rStyle w:val="Hyperlink"/>
                </w:rPr>
                <w:t xml:space="preserve">www.aihw.gov.au/about-us/our-governance</w:t>
              </w:r>
            </w:hyperlink>
            <w:r>
              <w:rPr>
                <w:rStyle w:val="row-content-rich-text"/>
              </w:rPr>
              <w:t xml:space="preserve">) and vision</w:t>
            </w:r>
            <w:r>
              <w:rPr>
                <w:rStyle w:val="row-content-rich-text"/>
              </w:rPr>
              <w:t xml:space="preserve"> </w:t>
            </w:r>
            <w:r>
              <w:rPr>
                <w:rStyle w:val="row-content-rich-text"/>
              </w:rPr>
              <w:t xml:space="preserve">and strategic goals (</w:t>
            </w:r>
            <w:hyperlink w:history="true" r:id="R0e4f2910b9fb41d6">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a8387e41c0d344da">
              <w:r>
                <w:rPr>
                  <w:rStyle w:val="Hyperlink"/>
                </w:rPr>
                <w:t xml:space="preserve">www.health.nt.gov.au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2021.</w:t>
            </w:r>
          </w:p>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2021.</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ninth report was published in September 2021, with a reference period of July 2012 to December 2020. The latest report was published in August 2022, with a reference period of July 2012 to December 2021.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08f3c78f2cf0439b">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6cbe33b88e414602">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2021, hearing loss status was missing from the data for about 9%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data is received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The latest six reports differ from previous ones with a shift from reporting on a financial year to reporting on a calendar year. The latest report allows for comparison of years from the second half of 2012 (July–December) and for each whole calendar year from 2013 to 2021. The current report was published in August 2022 (with data to December 2021).</w:t>
            </w:r>
          </w:p>
          <w:p>
            <w:pPr/>
            <w:r>
              <w:rPr>
                <w:rStyle w:val="row-content-rich-text"/>
              </w:rPr>
              <w:t xml:space="preserve">SFNT outreach audiology services were developed and extended from the outreach audiology services originally funded through the CHCI(CtG), which ran from August 2007 to June 2012. However, data from the CHCI(CtG) cannot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w:t>
            </w:r>
            <w:r>
              <w:rPr>
                <w:rStyle w:val="row-content-rich-text"/>
              </w:rPr>
              <w:t xml:space="preserve">—</w:t>
            </w:r>
            <w:r>
              <w:rPr>
                <w:rStyle w:val="row-content-rich-text"/>
                <w:i/>
              </w:rPr>
              <w:t xml:space="preser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1db335e95c42a3">
              <w:r>
                <w:rPr>
                  <w:rStyle w:val="Hyperlink"/>
                </w:rPr>
                <w:t xml:space="preserve">Northern Territory Remote Aboriginal Investment audiology data collection, 2020; Quality Statement</w:t>
              </w:r>
            </w:hyperlink>
          </w:p>
          <w:p>
            <w:pPr>
              <w:spacing w:before="0" w:after="0"/>
            </w:pPr>
            <w:r>
              <w:rPr>
                <w:rStyle w:val="row-content"/>
                <w:color w:val="244061"/>
              </w:rPr>
              <w:t xml:space="preserve">       </w:t>
            </w:r>
            <w:hyperlink w:history="true" r:id="R3f3cc0f3e28648c8">
              <w:r>
                <w:rPr>
                  <w:rStyle w:val="Hyperlink"/>
                  <w:color w:val="244061"/>
                </w:rPr>
                <w:t xml:space="preserve">AIHW Data Quality Statements</w:t>
              </w:r>
            </w:hyperlink>
            <w:r>
              <w:rPr>
                <w:rStyle w:val="row-content"/>
                <w:color w:val="244061"/>
              </w:rPr>
              <w:t xml:space="preserve">, Superseded 31/08/2022</w:t>
            </w:r>
          </w:p>
          <w:p>
            <w:r>
              <w:br/>
            </w:r>
            <w:r>
              <w:rPr>
                <w:rStyle w:val="row-content"/>
              </w:rPr>
              <w:t xml:space="preserve">Has been superseded by </w:t>
            </w:r>
            <w:hyperlink w:history="true" r:id="R724fa67487d74256">
              <w:r>
                <w:rPr>
                  <w:rStyle w:val="Hyperlink"/>
                </w:rPr>
                <w:t xml:space="preserve">Northern Territory Remote Aboriginal Investment audiology data collection, 2022; Quality Statement</w:t>
              </w:r>
            </w:hyperlink>
          </w:p>
          <w:p>
            <w:pPr>
              <w:spacing w:before="0" w:after="0"/>
            </w:pPr>
            <w:r>
              <w:rPr>
                <w:rStyle w:val="row-content"/>
                <w:color w:val="244061"/>
              </w:rPr>
              <w:t xml:space="preserve">       </w:t>
            </w:r>
            <w:hyperlink w:history="true" r:id="Rb3ece182b7d8432b">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f47f1fad857d40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d81fd54e74d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7f1fad857d40cb" /><Relationship Type="http://schemas.openxmlformats.org/officeDocument/2006/relationships/header" Target="/word/header1.xml" Id="Re56f3f5bcc184d62" /><Relationship Type="http://schemas.openxmlformats.org/officeDocument/2006/relationships/settings" Target="/word/settings.xml" Id="R794e27f052734d34" /><Relationship Type="http://schemas.openxmlformats.org/officeDocument/2006/relationships/styles" Target="/word/styles.xml" Id="R4bcc2a47466c477d" /><Relationship Type="http://schemas.openxmlformats.org/officeDocument/2006/relationships/hyperlink" Target="https://meteor.aihw.gov.au/RegistrationAuthority/5" TargetMode="External" Id="R86e56ebe45f84263" /><Relationship Type="http://schemas.openxmlformats.org/officeDocument/2006/relationships/numbering" Target="/word/numbering.xml" Id="R5aaf9d4d81eb4a02" /><Relationship Type="http://schemas.openxmlformats.org/officeDocument/2006/relationships/hyperlink" Target="https://www.comlaw.gov.au/Series/C2004A03450" TargetMode="External" Id="R4ec029de1b354836" /><Relationship Type="http://schemas.openxmlformats.org/officeDocument/2006/relationships/hyperlink" Target="http://www.aihw.gov.au/aihw-board/" TargetMode="External" Id="Radef6c57f4384d2a" /><Relationship Type="http://schemas.openxmlformats.org/officeDocument/2006/relationships/hyperlink" Target="https://www.legislation.gov.au/Series/C2004A03712" TargetMode="External" Id="Rde312d2242b54617" /><Relationship Type="http://schemas.openxmlformats.org/officeDocument/2006/relationships/hyperlink" Target="https://www.aihw.gov.au/about-us" TargetMode="External" Id="R5ad599bc13524c67" /><Relationship Type="http://schemas.openxmlformats.org/officeDocument/2006/relationships/hyperlink" Target="https://www.aihw.gov.au/about-us/our-governance" TargetMode="External" Id="Re9d48eff01984bfe" /><Relationship Type="http://schemas.openxmlformats.org/officeDocument/2006/relationships/hyperlink" Target="http://www.aihw.gov.au/about-us/our-vision-and-strategic-goals" TargetMode="External" Id="R0e4f2910b9fb41d6" /><Relationship Type="http://schemas.openxmlformats.org/officeDocument/2006/relationships/hyperlink" Target="http://www.health.nt.gov.au/" TargetMode="External" Id="Ra8387e41c0d344da" /><Relationship Type="http://schemas.openxmlformats.org/officeDocument/2006/relationships/hyperlink" Target="http://www.aihw.gov.au/" TargetMode="External" Id="R08f3c78f2cf0439b" /><Relationship Type="http://schemas.openxmlformats.org/officeDocument/2006/relationships/hyperlink" Target="http://www.federalfinancialrelations.gov.au/" TargetMode="External" Id="R6cbe33b88e414602" /><Relationship Type="http://schemas.openxmlformats.org/officeDocument/2006/relationships/hyperlink" Target="https://meteor.aihw.gov.au/content/747606" TargetMode="External" Id="R411db335e95c42a3" /><Relationship Type="http://schemas.openxmlformats.org/officeDocument/2006/relationships/hyperlink" Target="https://meteor.aihw.gov.au/RegistrationAuthority/5" TargetMode="External" Id="R3f3cc0f3e28648c8" /><Relationship Type="http://schemas.openxmlformats.org/officeDocument/2006/relationships/hyperlink" Target="https://meteor.aihw.gov.au/content/781502" TargetMode="External" Id="R724fa67487d74256" /><Relationship Type="http://schemas.openxmlformats.org/officeDocument/2006/relationships/hyperlink" Target="https://meteor.aihw.gov.au/RegistrationAuthority/5" TargetMode="External" Id="Rb3ece182b7d8432b" /></Relationships>
</file>

<file path=word/_rels/header1.xml.rels>&#65279;<?xml version="1.0" encoding="utf-8"?><Relationships xmlns="http://schemas.openxmlformats.org/package/2006/relationships"><Relationship Type="http://schemas.openxmlformats.org/officeDocument/2006/relationships/image" Target="/media/image.png" Id="R281d81fd54e74ded" /></Relationships>
</file>