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e5b0ad334d4192" /></Relationships>
</file>

<file path=word/document.xml><?xml version="1.0" encoding="utf-8"?>
<w:document xmlns:r="http://schemas.openxmlformats.org/officeDocument/2006/relationships" xmlns:w="http://schemas.openxmlformats.org/wordprocessingml/2006/main">
  <w:body>
    <w:p>
      <w:pPr>
        <w:pStyle w:val="Title"/>
      </w:pPr>
      <w:r>
        <w:t>National Hand Hygiene Data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Hand Hygiene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(ACSQHC) established the National Hand Hygiene Initiative (NHHI) in 2008 as part of a suite of initiatives to prevent and reduce healthcare-associated infections in Australian healthcare settings. The </w:t>
            </w:r>
            <w:hyperlink w:history="true" r:id="Rff525d0f37854a65">
              <w:r>
                <w:rPr>
                  <w:rStyle w:val="Hyperlink"/>
                </w:rPr>
                <w:t xml:space="preserve">National Safety and Quality Health Service (NSQHS) Standards</w:t>
              </w:r>
            </w:hyperlink>
            <w:r>
              <w:rPr>
                <w:rStyle w:val="row-content-rich-text"/>
              </w:rPr>
              <w:t xml:space="preserve"> require health service organisations to have a hand hygiene program consistent with the NHHI and jurisdictional requirements. The NHHI uses a multimodal approach to improving hand hygiene, which includes:</w:t>
            </w:r>
          </w:p>
          <w:p>
            <w:pPr>
              <w:pStyle w:val="ListParagraph"/>
              <w:numPr>
                <w:ilvl w:val="0"/>
                <w:numId w:val="2"/>
              </w:numPr>
            </w:pPr>
            <w:r>
              <w:rPr>
                <w:rStyle w:val="row-content-rich-text"/>
              </w:rPr>
              <w:t xml:space="preserve">Promoting the use of alcohol-based hand rub at the point of care</w:t>
            </w:r>
          </w:p>
          <w:p>
            <w:pPr>
              <w:pStyle w:val="ListParagraph"/>
              <w:numPr>
                <w:ilvl w:val="0"/>
                <w:numId w:val="2"/>
              </w:numPr>
            </w:pPr>
            <w:r>
              <w:rPr>
                <w:rStyle w:val="row-content-rich-text"/>
              </w:rPr>
              <w:t xml:space="preserve">Ensuring standardised hand hygiene and infection prevention and control education</w:t>
            </w:r>
          </w:p>
          <w:p>
            <w:pPr>
              <w:pStyle w:val="ListParagraph"/>
              <w:numPr>
                <w:ilvl w:val="0"/>
                <w:numId w:val="2"/>
              </w:numPr>
            </w:pPr>
            <w:r>
              <w:rPr>
                <w:rStyle w:val="row-content-rich-text"/>
              </w:rPr>
              <w:t xml:space="preserve">Monitoring hand hygiene compliance and performance feedback as part of a quality improvement approach</w:t>
            </w:r>
          </w:p>
          <w:p>
            <w:pPr>
              <w:pStyle w:val="ListParagraph"/>
              <w:numPr>
                <w:ilvl w:val="0"/>
                <w:numId w:val="2"/>
              </w:numPr>
            </w:pPr>
            <w:r>
              <w:rPr>
                <w:rStyle w:val="row-content-rich-text"/>
              </w:rPr>
              <w:t xml:space="preserve">Identifying targeted opportunities for improving hand hygiene compliance.</w:t>
            </w:r>
          </w:p>
          <w:p>
            <w:pPr/>
            <w:r>
              <w:rPr>
                <w:rStyle w:val="row-content-rich-text"/>
              </w:rPr>
              <w:t xml:space="preserve">Implementation of the NHHI is led by states, territories and health service organisations (public and private).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b848cf258f24171">
              <w:r>
                <w:rPr>
                  <w:rStyle w:val="Hyperlink"/>
                </w:rPr>
                <w:t xml:space="preserve">National hand hygiene audit data | Australian Commission on Safety and Quality in Health 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Audit data are provided by health service organisations to the ACSQHC. There are three national audit periods, with two being mandatory and one being voluntary:</w:t>
            </w:r>
          </w:p>
          <w:p>
            <w:pPr>
              <w:pStyle w:val="ListParagraph"/>
              <w:numPr>
                <w:ilvl w:val="0"/>
                <w:numId w:val="3"/>
              </w:numPr>
            </w:pPr>
            <w:r>
              <w:rPr>
                <w:rStyle w:val="row-content-rich-text"/>
              </w:rPr>
              <w:t xml:space="preserve">1 November to 31 March</w:t>
            </w:r>
          </w:p>
          <w:p>
            <w:pPr>
              <w:pStyle w:val="ListParagraph"/>
              <w:numPr>
                <w:ilvl w:val="0"/>
                <w:numId w:val="3"/>
              </w:numPr>
            </w:pPr>
            <w:r>
              <w:rPr>
                <w:rStyle w:val="row-content-rich-text"/>
              </w:rPr>
              <w:t xml:space="preserve">1 April to 30 June, and</w:t>
            </w:r>
          </w:p>
          <w:p>
            <w:pPr>
              <w:pStyle w:val="ListParagraph"/>
              <w:numPr>
                <w:ilvl w:val="0"/>
                <w:numId w:val="3"/>
              </w:numPr>
            </w:pPr>
            <w:r>
              <w:rPr>
                <w:rStyle w:val="row-content-rich-text"/>
              </w:rPr>
              <w:t xml:space="preserve">1 July to 31 October each year.</w:t>
            </w:r>
          </w:p>
          <w:p>
            <w:pPr>
              <w:spacing w:after="160"/>
            </w:pPr>
            <w:r>
              <w:rPr>
                <w:rStyle w:val="row-content-rich-text"/>
              </w:rPr>
              <w:t xml:space="preserve">(NB. Prior to 1 April 2023, all three audit periods were mandatory.) </w:t>
            </w:r>
          </w:p>
          <w:p>
            <w:pPr>
              <w:spacing w:after="160"/>
            </w:pPr>
            <w:r>
              <w:rPr>
                <w:rStyle w:val="row-content-rich-text"/>
              </w:rPr>
              <w:t xml:space="preserve">After its analysis and reporting of the national dataset, the ACSQHC provides the data to the AIHW. Transfer of data from the ACSQHC to the AIHW normally occurs two months after the close of the audit period.</w:t>
            </w:r>
          </w:p>
          <w:p>
            <w:pPr/>
            <w:r>
              <w:rPr>
                <w:rStyle w:val="row-content-rich-text"/>
              </w:rPr>
              <w:t xml:space="preserve">The reference period for this data set is from November 2012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2 times a year (minimum)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01/11/2012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r>
              <w:br/>
            </w:r>
            <w:r>
              <w:rPr>
                <w:rStyle w:val="row-content-rich-text"/>
              </w:rPr>
              <w:t xml:space="preserve">Level 5, 255 Elizabeth Street</w:t>
            </w:r>
          </w:p>
          <w:p>
            <w:pPr/>
            <w:r>
              <w:rPr>
                <w:rStyle w:val="row-content-rich-text"/>
              </w:rPr>
              <w:t xml:space="preserve">Sydney NSW 2000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(ACSQHC) 2024. </w:t>
            </w:r>
            <w:hyperlink w:history="true" r:id="R2e099b4812964fbc">
              <w:r>
                <w:rPr>
                  <w:rStyle w:val="Hyperlink"/>
                </w:rPr>
                <w:t xml:space="preserve">National Hand Hygiene Initiative</w:t>
              </w:r>
            </w:hyperlink>
            <w:r>
              <w:rPr>
                <w:rStyle w:val="row-content-rich-text"/>
              </w:rPr>
              <w:t xml:space="preserve">. Sydney: ACSQHC. Viewed 28 February 2024</w:t>
            </w:r>
          </w:p>
          <w:p>
            <w:pPr/>
            <w:r>
              <w:rPr>
                <w:rStyle w:val="row-content-rich-text"/>
              </w:rPr>
              <w:t xml:space="preserve">ACSQHC 2023. </w:t>
            </w:r>
            <w:hyperlink w:history="true" r:id="R192e074a72274dac">
              <w:r>
                <w:rPr>
                  <w:rStyle w:val="Hyperlink"/>
                </w:rPr>
                <w:t xml:space="preserve">National Hand Hygiene Initiative Implementation Guide.</w:t>
              </w:r>
            </w:hyperlink>
            <w:r>
              <w:rPr>
                <w:rStyle w:val="row-content-rich-text"/>
              </w:rPr>
              <w:t xml:space="preserve"> Sydney: ACSQHC. Viewed 28 February 2024</w:t>
            </w:r>
          </w:p>
        </w:tc>
      </w:tr>
    </w:tbl>
    <w:p>
      <w:r>
        <w:br/>
      </w:r>
    </w:p>
    <w:sectPr>
      <w:footerReference xmlns:r="http://schemas.openxmlformats.org/officeDocument/2006/relationships" w:type="default" r:id="R95f5c538598a41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762831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7c6cda43b943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f5c538598a415d" /><Relationship Type="http://schemas.openxmlformats.org/officeDocument/2006/relationships/header" Target="/word/header1.xml" Id="R35fcc3ec68104a58" /><Relationship Type="http://schemas.openxmlformats.org/officeDocument/2006/relationships/settings" Target="/word/settings.xml" Id="R6d16a740397a4cba" /><Relationship Type="http://schemas.openxmlformats.org/officeDocument/2006/relationships/styles" Target="/word/styles.xml" Id="Rbf411ae0bd364739" /><Relationship Type="http://schemas.openxmlformats.org/officeDocument/2006/relationships/numbering" Target="/word/numbering.xml" Id="R7b625781405e4e0f" /><Relationship Type="http://schemas.openxmlformats.org/officeDocument/2006/relationships/hyperlink" Target="https://www.safetyandquality.gov.au/standards/nsqhs-standards" TargetMode="External" Id="Rff525d0f37854a65" /><Relationship Type="http://schemas.openxmlformats.org/officeDocument/2006/relationships/hyperlink" Target="https://www.safetyandquality.gov.au/our-work/infection-prevention-and-control/national-hand-hygiene-initiative/national-audits-and-hhcapp/national-hand-hygiene-audit-data-latest-data-now-available" TargetMode="External" Id="R6b848cf258f24171" /><Relationship Type="http://schemas.openxmlformats.org/officeDocument/2006/relationships/hyperlink" Target="https://www.safetyandquality.gov.au/our-work/infection-prevention-and-control/national-hand-hygiene-initiative" TargetMode="External" Id="R2e099b4812964fbc" /><Relationship Type="http://schemas.openxmlformats.org/officeDocument/2006/relationships/hyperlink" Target="https://www.safetyandquality.gov.au/publications-and-resources/resource-library/national-hand-hygiene-initiative-implementation-guide" TargetMode="External" Id="R192e074a72274dac" /></Relationships>
</file>

<file path=word/_rels/header1.xml.rels>&#65279;<?xml version="1.0" encoding="utf-8"?><Relationships xmlns="http://schemas.openxmlformats.org/package/2006/relationships"><Relationship Type="http://schemas.openxmlformats.org/officeDocument/2006/relationships/image" Target="/media/image.png" Id="R347c6cda43b9434c" /></Relationships>
</file>