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39f194a07c46d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2021–22;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52be7a9a54887">
              <w:r>
                <w:rPr>
                  <w:rStyle w:val="Hyperlink"/>
                  <w:color w:val="244061"/>
                </w:rPr>
                <w:t xml:space="preserve">AIHW Data Quality Statements</w:t>
              </w:r>
            </w:hyperlink>
            <w:r>
              <w:rPr>
                <w:rStyle w:val="row-content"/>
                <w:color w:val="244061"/>
              </w:rPr>
              <w:t xml:space="preserve">, Superseded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 – New South Wales, Queensland, South Australia, Tasmania and the Northern Territory – 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2021–22 financial year and point in time at 30 June 2022.</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416065eb8d304422">
              <w:r>
                <w:rPr>
                  <w:rStyle w:val="Hyperlink"/>
                  <w:i/>
                </w:rPr>
                <w:t xml:space="preserve">Australian Institute of Health and Welfare Act 1987</w:t>
              </w:r>
            </w:hyperlink>
            <w:r>
              <w:rPr>
                <w:rStyle w:val="row-content-rich-text"/>
              </w:rPr>
              <w:t xml:space="preserve"> (AIHW Act), governed by a </w:t>
            </w:r>
            <w:hyperlink w:history="true" r:id="Rb9a0281b33524db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965274db83c485c">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eb98a083e3d243a2">
              <w:r>
                <w:rPr>
                  <w:rStyle w:val="Hyperlink"/>
                </w:rPr>
                <w:t xml:space="preserve">AIHW website</w:t>
              </w:r>
            </w:hyperlink>
            <w:r>
              <w:rPr>
                <w:rStyle w:val="row-content-rich-text"/>
              </w:rPr>
              <w:t xml:space="preserve">, which includes details about the AIHW's </w:t>
            </w:r>
            <w:hyperlink w:history="true" r:id="Rae4b2f0c17cc4eab">
              <w:r>
                <w:rPr>
                  <w:rStyle w:val="Hyperlink"/>
                </w:rPr>
                <w:t xml:space="preserve">governance</w:t>
              </w:r>
            </w:hyperlink>
            <w:r>
              <w:rPr>
                <w:rStyle w:val="row-content-rich-text"/>
              </w:rPr>
              <w:t xml:space="preserve"> and </w:t>
            </w:r>
            <w:hyperlink w:history="true" r:id="Rde77b2237c7b4e98">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bf003d67709d422f">
              <w:r>
                <w:rPr>
                  <w:rStyle w:val="Hyperlink"/>
                  <w:i/>
                </w:rPr>
                <w:t xml:space="preserve">Housing assistance in Australia</w:t>
              </w:r>
            </w:hyperlink>
            <w:r>
              <w:rPr>
                <w:rStyle w:val="row-content-rich-text"/>
              </w:rPr>
              <w:t xml:space="preserve"> reports and the Productivity Commission's annual </w:t>
            </w:r>
            <w:hyperlink w:history="true" r:id="R1988c60db0f34401">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w:t>
            </w:r>
            <w:hyperlink w:history="true" r:id="R760d727ffffd4010">
              <w:r>
                <w:rPr>
                  <w:rStyle w:val="Hyperlink"/>
                </w:rPr>
                <w:t xml:space="preserve">data request system</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fab5beb6f0bf49c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7eeffbf8366340f9">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 – 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w:t>
            </w:r>
            <w:r>
              <w:rPr>
                <w:rStyle w:val="row-content-rich-text"/>
              </w:rPr>
              <w:t xml:space="preserve"> instead. (Assessable income is the income amount used to establish eligibility for housing assistance and each jurisdiction uses its own definition of assessable income.) In addition, </w:t>
            </w:r>
            <w:r>
              <w:rPr>
                <w:rStyle w:val="row-content-rich-text"/>
                <w:i/>
              </w:rPr>
              <w:t xml:space="preserve">disability status</w:t>
            </w:r>
            <w:r>
              <w:rPr>
                <w:rStyle w:val="row-content-rich-text"/>
              </w:rPr>
              <w:t xml:space="preserve"> 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updated for rebated households, that is, 67%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87% of all households. </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 In 2021–22, South Australia reported an increase in the collection and reliability of incomes for non-rebated households.</w:t>
            </w:r>
          </w:p>
          <w:p>
            <w:pPr>
              <w:pStyle w:val="ListParagraph"/>
              <w:numPr>
                <w:ilvl w:val="0"/>
                <w:numId w:val="6"/>
              </w:numPr>
            </w:pPr>
            <w:r>
              <w:rPr>
                <w:rStyle w:val="row-content-rich-text"/>
              </w:rPr>
              <w:t xml:space="preserve">In February 2021, data from community housing (CH) organisations were migrated into South Australia’s single housing register (SHR). Initial application dates remained for households initially on the CH register when they were included in the SOMIH register through the SHR, impacting on time waited indicators.</w:t>
            </w:r>
          </w:p>
          <w:p>
            <w:pPr>
              <w:pStyle w:val="ListParagraph"/>
              <w:numPr>
                <w:ilvl w:val="0"/>
                <w:numId w:val="6"/>
              </w:numPr>
            </w:pPr>
            <w:r>
              <w:rPr>
                <w:rStyle w:val="row-content-rich-text"/>
              </w:rPr>
              <w:t xml:space="preserve">Prior to 2021–22, all households and the main tenant in SOMIH were reported as Indigenous. These included households where Indigenous status was not recorded for any of the occupants, or where there were only non-Indigenous occupants. From 2021–22, the Indigenous status of households and the main tenant are reported consistent with what is recorded in departmental systems.</w:t>
            </w:r>
          </w:p>
          <w:p>
            <w:pPr>
              <w:pStyle w:val="ListParagraph"/>
              <w:numPr>
                <w:ilvl w:val="0"/>
                <w:numId w:val="6"/>
              </w:numPr>
            </w:pPr>
            <w:r>
              <w:rPr>
                <w:rStyle w:val="row-content-rich-text"/>
              </w:rPr>
              <w:t xml:space="preserve">Housing SA did not supply the ‘dwelling history’ file for 2021–22,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From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1"/>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3"/>
              </w:numPr>
            </w:pPr>
            <w:r>
              <w:rPr>
                <w:rStyle w:val="row-content-rich-text"/>
              </w:rPr>
              <w:t xml:space="preserve">From April 2020, eligible applicants for SOMIH were registered for both the PH and SOMIH programs. These applicants are reported only in the SOMIH waitlist data.</w:t>
            </w:r>
          </w:p>
          <w:p>
            <w:pPr>
              <w:spacing w:after="160"/>
            </w:pPr>
            <w:r>
              <w:rPr>
                <w:rStyle w:val="row-content-rich-text"/>
                <w:b/>
              </w:rPr>
              <w:t xml:space="preserve">Tasmania</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26b2b79994376">
              <w:r>
                <w:rPr>
                  <w:rStyle w:val="Hyperlink"/>
                </w:rPr>
                <w:t xml:space="preserve">State Owned and Managed Indigenous Housing Data Collection, 2020–21; Quality Statement</w:t>
              </w:r>
            </w:hyperlink>
          </w:p>
          <w:p>
            <w:pPr>
              <w:spacing w:before="0" w:after="0"/>
            </w:pPr>
            <w:r>
              <w:rPr>
                <w:rStyle w:val="row-content"/>
                <w:color w:val="244061"/>
              </w:rPr>
              <w:t xml:space="preserve">       </w:t>
            </w:r>
            <w:hyperlink w:history="true" r:id="Rfd47be306dd74879">
              <w:r>
                <w:rPr>
                  <w:rStyle w:val="Hyperlink"/>
                  <w:color w:val="244061"/>
                </w:rPr>
                <w:t xml:space="preserve">AIHW Data Quality Statements</w:t>
              </w:r>
            </w:hyperlink>
            <w:r>
              <w:rPr>
                <w:rStyle w:val="row-content"/>
                <w:color w:val="244061"/>
              </w:rPr>
              <w:t xml:space="preserve">, Superseded 23/11/2022</w:t>
            </w:r>
          </w:p>
          <w:p>
            <w:r>
              <w:br/>
            </w:r>
            <w:r>
              <w:rPr>
                <w:rStyle w:val="row-content"/>
              </w:rPr>
              <w:t xml:space="preserve">Has been superseded by </w:t>
            </w:r>
            <w:hyperlink w:history="true" r:id="R8a305ef4d68a46b3">
              <w:r>
                <w:rPr>
                  <w:rStyle w:val="Hyperlink"/>
                </w:rPr>
                <w:t xml:space="preserve">State Owned and Managed Indigenous Housing Data Collection, 2022–23; Quality Statement</w:t>
              </w:r>
            </w:hyperlink>
          </w:p>
          <w:p>
            <w:pPr>
              <w:spacing w:before="0" w:after="0"/>
            </w:pPr>
            <w:r>
              <w:rPr>
                <w:rStyle w:val="row-content"/>
                <w:color w:val="244061"/>
              </w:rPr>
              <w:t xml:space="preserve">       </w:t>
            </w:r>
            <w:hyperlink w:history="true" r:id="R213a0b11d7df4b27">
              <w:r>
                <w:rPr>
                  <w:rStyle w:val="Hyperlink"/>
                  <w:color w:val="244061"/>
                </w:rPr>
                <w:t xml:space="preserve">AIHW Data Quality Statements</w:t>
              </w:r>
            </w:hyperlink>
            <w:r>
              <w:rPr>
                <w:rStyle w:val="row-content"/>
                <w:color w:val="244061"/>
              </w:rPr>
              <w:t xml:space="preserve">, Standard 22/12/2023</w:t>
            </w:r>
          </w:p>
          <w:p>
            <w:r>
              <w:br/>
            </w:r>
            <w:r>
              <w:rPr>
                <w:rStyle w:val="row-content"/>
              </w:rPr>
              <w:t xml:space="preserve">See also </w:t>
            </w:r>
            <w:hyperlink w:history="true" r:id="R90a98ffdea0c4db8">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c062d8df0b264f58">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f74819074aef4bca">
              <w:r>
                <w:rPr>
                  <w:rStyle w:val="Hyperlink"/>
                </w:rPr>
                <w:t xml:space="preserve">Public Housing Data Collection, 2021–22; Quality Statement</w:t>
              </w:r>
            </w:hyperlink>
          </w:p>
          <w:p>
            <w:pPr>
              <w:spacing w:before="0" w:after="0"/>
            </w:pPr>
            <w:r>
              <w:rPr>
                <w:rStyle w:val="row-content"/>
                <w:color w:val="244061"/>
              </w:rPr>
              <w:t xml:space="preserve">       </w:t>
            </w:r>
            <w:hyperlink w:history="true" r:id="Ra204d7c571bd4487">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ca5243bf5517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b4a5014aa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243bf5517421f" /><Relationship Type="http://schemas.openxmlformats.org/officeDocument/2006/relationships/header" Target="/word/header1.xml" Id="Rc4250921deae4deb" /><Relationship Type="http://schemas.openxmlformats.org/officeDocument/2006/relationships/settings" Target="/word/settings.xml" Id="R5fa9d2a65c714916" /><Relationship Type="http://schemas.openxmlformats.org/officeDocument/2006/relationships/styles" Target="/word/styles.xml" Id="Re5a474c712c24f89" /><Relationship Type="http://schemas.openxmlformats.org/officeDocument/2006/relationships/hyperlink" Target="https://meteor.aihw.gov.au/RegistrationAuthority/5" TargetMode="External" Id="R19952be7a9a54887" /><Relationship Type="http://schemas.openxmlformats.org/officeDocument/2006/relationships/numbering" Target="/word/numbering.xml" Id="R73e871360b634a7f" /><Relationship Type="http://schemas.openxmlformats.org/officeDocument/2006/relationships/hyperlink" Target="https://www.legislation.gov.au/Series/C2004A03450" TargetMode="External" Id="R416065eb8d304422" /><Relationship Type="http://schemas.openxmlformats.org/officeDocument/2006/relationships/hyperlink" Target="https://www.aihw.gov.au/about-us/our-governance" TargetMode="External" Id="Rb9a0281b33524db0" /><Relationship Type="http://schemas.openxmlformats.org/officeDocument/2006/relationships/hyperlink" Target="https://www.legislation.gov.au/Series/C2004A03712" TargetMode="External" Id="Rf965274db83c485c" /><Relationship Type="http://schemas.openxmlformats.org/officeDocument/2006/relationships/hyperlink" Target="https://www.aihw.gov.au/about-us" TargetMode="External" Id="Reb98a083e3d243a2" /><Relationship Type="http://schemas.openxmlformats.org/officeDocument/2006/relationships/hyperlink" Target="https://www.aihw.gov.au/about-us/our-governance" TargetMode="External" Id="Rae4b2f0c17cc4eab" /><Relationship Type="http://schemas.openxmlformats.org/officeDocument/2006/relationships/hyperlink" Target="https://www.aihw.gov.au/about-us/what-we-do" TargetMode="External" Id="Rde77b2237c7b4e98" /><Relationship Type="http://schemas.openxmlformats.org/officeDocument/2006/relationships/hyperlink" Target="https://www.aihw.gov.au/reports/housing-assistance/housing-assistance-in-australia/report-editions" TargetMode="External" Id="Rbf003d67709d422f" /><Relationship Type="http://schemas.openxmlformats.org/officeDocument/2006/relationships/hyperlink" Target="http://www.pc.gov.au/research/ongoing/report-on-government-services" TargetMode="External" Id="R1988c60db0f34401" /><Relationship Type="http://schemas.openxmlformats.org/officeDocument/2006/relationships/hyperlink" Target="https://www.aihw.gov.au/our-services/data-on-request" TargetMode="External" Id="R760d727ffffd4010" /><Relationship Type="http://schemas.openxmlformats.org/officeDocument/2006/relationships/hyperlink" Target="mailto:info@aihw.gov.au" TargetMode="External" Id="Rfab5beb6f0bf49cd" /><Relationship Type="http://schemas.openxmlformats.org/officeDocument/2006/relationships/hyperlink" Target="https://meteor.aihw.gov.au/content/711016" TargetMode="External" Id="R7eeffbf8366340f9" /><Relationship Type="http://schemas.openxmlformats.org/officeDocument/2006/relationships/hyperlink" Target="https://meteor.aihw.gov.au/content/749353" TargetMode="External" Id="R5a926b2b79994376" /><Relationship Type="http://schemas.openxmlformats.org/officeDocument/2006/relationships/hyperlink" Target="https://meteor.aihw.gov.au/RegistrationAuthority/5" TargetMode="External" Id="Rfd47be306dd74879" /><Relationship Type="http://schemas.openxmlformats.org/officeDocument/2006/relationships/hyperlink" Target="https://meteor.aihw.gov.au/content/783469" TargetMode="External" Id="R8a305ef4d68a46b3" /><Relationship Type="http://schemas.openxmlformats.org/officeDocument/2006/relationships/hyperlink" Target="https://meteor.aihw.gov.au/RegistrationAuthority/5" TargetMode="External" Id="R213a0b11d7df4b27" /><Relationship Type="http://schemas.openxmlformats.org/officeDocument/2006/relationships/hyperlink" Target="https://meteor.aihw.gov.au/content/711016" TargetMode="External" Id="R90a98ffdea0c4db8" /><Relationship Type="http://schemas.openxmlformats.org/officeDocument/2006/relationships/hyperlink" Target="https://meteor.aihw.gov.au/RegistrationAuthority/11" TargetMode="External" Id="Rc062d8df0b264f58" /><Relationship Type="http://schemas.openxmlformats.org/officeDocument/2006/relationships/hyperlink" Target="https://meteor.aihw.gov.au/content/762190" TargetMode="External" Id="Rf74819074aef4bca" /><Relationship Type="http://schemas.openxmlformats.org/officeDocument/2006/relationships/hyperlink" Target="https://meteor.aihw.gov.au/RegistrationAuthority/5" TargetMode="External" Id="Ra204d7c571bd4487" /></Relationships>
</file>

<file path=word/_rels/header1.xml.rels>&#65279;<?xml version="1.0" encoding="utf-8"?><Relationships xmlns="http://schemas.openxmlformats.org/package/2006/relationships"><Relationship Type="http://schemas.openxmlformats.org/officeDocument/2006/relationships/image" Target="/media/image.png" Id="R102b4a5014aa45b1" /></Relationships>
</file>