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8ca25b9dd54a65"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(2021 Census, ASGS Edition 3)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(2021 Census, ASGS Edition 3)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c5f3f2dd349ea">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2021 is a suite of four summary measures produced by the ABS from social and economic information in the 2021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2021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060328c3cdd645c5">
              <w:r>
                <w:rPr>
                  <w:rStyle w:val="Hyperlink"/>
                </w:rPr>
                <w:t xml:space="preserve">ABS Australian Statistical Geography Standard (ASGS)</w:t>
              </w:r>
            </w:hyperlink>
            <w:r>
              <w:rPr>
                <w:rStyle w:val="row-content-rich-text"/>
              </w:rPr>
              <w:t xml:space="preserve">) is the main geographical framework for the 2021 Census.</w:t>
            </w:r>
          </w:p>
          <w:p>
            <w:pPr>
              <w:spacing w:after="160"/>
            </w:pPr>
            <w:r>
              <w:rPr>
                <w:rStyle w:val="row-content-rich-text"/>
              </w:rPr>
              <w:t xml:space="preserve">Data cubes for the SEIFA 2021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2021 is SA1. LGAs are larger geographic units in the ASGS.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Edition 3) N(11); or</w:t>
            </w:r>
          </w:p>
          <w:p>
            <w:pPr>
              <w:pStyle w:val="ListParagraph"/>
              <w:numPr>
                <w:ilvl w:val="0"/>
                <w:numId w:val="4"/>
              </w:numPr>
            </w:pPr>
            <w:r>
              <w:rPr>
                <w:rStyle w:val="row-content-rich-text"/>
              </w:rPr>
              <w:t xml:space="preserve">Address—statistical area, level 1 (SA1) code (ASGS Edition 3)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Edition 3) N(9).</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collection of residential postcode + locality + state/territory can be mapped to SA2. Where locality, postcode and state/territory are collected, there are a number of concordance/correspondence files available from </w:t>
            </w:r>
            <w:hyperlink w:history="true" r:id="R68fef097f3ed4928">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6"/>
              </w:numPr>
            </w:pPr>
            <w:r>
              <w:rPr>
                <w:rStyle w:val="row-content-rich-text"/>
              </w:rPr>
              <w:t xml:space="preserve">2021 Urban centres and localities (and postcode and state/territory) to 2021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80ea11a0b4a4c26">
              <w:r>
                <w:rPr>
                  <w:rStyle w:val="Hyperlink"/>
                </w:rPr>
                <w:t xml:space="preserve">Summary: Census of Population and Housing: Socio-Economic Indexes for Areas (SEIFA), Australia, 2016 (ABS cat no 2033.0.55.001)</w:t>
              </w:r>
            </w:hyperlink>
          </w:p>
          <w:p>
            <w:hyperlink w:history="true" r:id="R58ca6cbe56534f64">
              <w:r>
                <w:rPr>
                  <w:rStyle w:val="Hyperlink"/>
                </w:rPr>
                <w:t xml:space="preserve">Socio-Economic Indexes for Areas (SEIFA) - Technical Paper 2016 (ABS cat no 2033.0.55.001)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e45a59e58746b4">
              <w:r>
                <w:rPr>
                  <w:rStyle w:val="Hyperlink"/>
                </w:rPr>
                <w:t xml:space="preserve">Socio-Economic Indexes for Areas (SEIFA) (2016 Census, ASGS 2016) cluster </w:t>
              </w:r>
            </w:hyperlink>
          </w:p>
          <w:p>
            <w:pPr>
              <w:pStyle w:val="registration-status"/>
              <w:spacing w:before="0" w:after="0"/>
            </w:pPr>
            <w:hyperlink w:history="true" r:id="Re12c0ba074054ea6">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e0aadc6931324549">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66c31329aa4e33">
              <w:r>
                <w:rPr>
                  <w:rStyle w:val="Hyperlink"/>
                </w:rPr>
                <w:t xml:space="preserve">Early Childhood Education and Care: Unit Record Level NMDS 2023</w:t>
              </w:r>
            </w:hyperlink>
          </w:p>
          <w:p>
            <w:pPr>
              <w:pStyle w:val="registration-status"/>
              <w:spacing w:before="0" w:after="0"/>
            </w:pPr>
            <w:hyperlink w:history="true" r:id="R940635e120894a00">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fbdffc3a67c74d94">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06fbf08248794d3c">
              <w:r>
                <w:rPr>
                  <w:rStyle w:val="Hyperlink"/>
                </w:rPr>
                <w:t xml:space="preserve">Early Childhood Education and Care: Unit Record Level NMDS 2024</w:t>
              </w:r>
            </w:hyperlink>
          </w:p>
          <w:p>
            <w:pPr>
              <w:pStyle w:val="registration-status"/>
              <w:spacing w:before="0" w:after="0"/>
            </w:pPr>
            <w:hyperlink w:history="true" r:id="Rae52ea374f414b34">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bf1800a74665493a">
              <w:r>
                <w:rPr>
                  <w:rStyle w:val="Hyperlink"/>
                </w:rPr>
                <w:t xml:space="preserve">Address—statistical area, level 1 (SA1) code (ASGS Edition 3)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924d05ab443a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047e099f4f42a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2d405d49944b5">
                    <w:r>
                      <w:rPr>
                        <w:rStyle w:val="Hyperlink"/>
                      </w:rPr>
                      <w:t xml:space="preserve">Address—statistical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b9877ef0048e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c77bc24e145bc">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349f66d814d02">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fd4909ff2d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f5d2345e6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d4909ff2d4478" /><Relationship Type="http://schemas.openxmlformats.org/officeDocument/2006/relationships/header" Target="/word/header1.xml" Id="Rb18497c429dc4df8" /><Relationship Type="http://schemas.openxmlformats.org/officeDocument/2006/relationships/settings" Target="/word/settings.xml" Id="R9d49a63d5bf24f87" /><Relationship Type="http://schemas.openxmlformats.org/officeDocument/2006/relationships/styles" Target="/word/styles.xml" Id="Rbf5e3e96d7a44de2" /><Relationship Type="http://schemas.openxmlformats.org/officeDocument/2006/relationships/numbering" Target="/word/numbering.xml" Id="Rc888f4e262d544e6" /><Relationship Type="http://schemas.openxmlformats.org/officeDocument/2006/relationships/hyperlink" Target="https://meteor.aihw.gov.au/RegistrationAuthority/13" TargetMode="External" Id="R684c5f3f2dd349ea" /><Relationship Type="http://schemas.openxmlformats.org/officeDocument/2006/relationships/hyperlink" Target="https://www.abs.gov.au/statistics/statistical-geography/australian-statistical-geography-standard-asgs" TargetMode="External" Id="R060328c3cdd645c5" /><Relationship Type="http://schemas.openxmlformats.org/officeDocument/2006/relationships/hyperlink" Target="mailto:geography@abs.gov.au" TargetMode="External" Id="R68fef097f3ed4928" /><Relationship Type="http://schemas.openxmlformats.org/officeDocument/2006/relationships/hyperlink" Target="http://www.abs.gov.au/ausstats/abs@.nsf/mf/2033.0.55.001" TargetMode="External" Id="Re80ea11a0b4a4c26" /><Relationship Type="http://schemas.openxmlformats.org/officeDocument/2006/relationships/hyperlink" Target="http://www.ausstats.abs.gov.au/ausstats/subscriber.nsf/0/756EE3DBEFA869EFCA258259000BA746/$File/SEIFA 2016 Technical Paper.pdf" TargetMode="External" Id="R58ca6cbe56534f64" /><Relationship Type="http://schemas.openxmlformats.org/officeDocument/2006/relationships/hyperlink" Target="https://meteor.aihw.gov.au/content/695778" TargetMode="External" Id="R0ee45a59e58746b4" /><Relationship Type="http://schemas.openxmlformats.org/officeDocument/2006/relationships/hyperlink" Target="https://meteor.aihw.gov.au/RegistrationAuthority/13" TargetMode="External" Id="Re12c0ba074054ea6" /><Relationship Type="http://schemas.openxmlformats.org/officeDocument/2006/relationships/hyperlink" Target="https://meteor.aihw.gov.au/RegistrationAuthority/12" TargetMode="External" Id="Re0aadc6931324549" /><Relationship Type="http://schemas.openxmlformats.org/officeDocument/2006/relationships/hyperlink" Target="https://meteor.aihw.gov.au/content/772443" TargetMode="External" Id="R5566c31329aa4e33" /><Relationship Type="http://schemas.openxmlformats.org/officeDocument/2006/relationships/hyperlink" Target="https://meteor.aihw.gov.au/RegistrationAuthority/13" TargetMode="External" Id="R940635e120894a00" /><Relationship Type="http://schemas.openxmlformats.org/officeDocument/2006/relationships/hyperlink" Target="https://meteor.aihw.gov.au/content/660637" TargetMode="External" Id="Rfbdffc3a67c74d94" /><Relationship Type="http://schemas.openxmlformats.org/officeDocument/2006/relationships/hyperlink" Target="https://meteor.aihw.gov.au/content/793252" TargetMode="External" Id="R06fbf08248794d3c" /><Relationship Type="http://schemas.openxmlformats.org/officeDocument/2006/relationships/hyperlink" Target="https://meteor.aihw.gov.au/RegistrationAuthority/13" TargetMode="External" Id="Rae52ea374f414b34" /><Relationship Type="http://schemas.openxmlformats.org/officeDocument/2006/relationships/hyperlink" Target="https://meteor.aihw.gov.au/content/747309" TargetMode="External" Id="Rbf1800a74665493a" /><Relationship Type="http://schemas.openxmlformats.org/officeDocument/2006/relationships/hyperlink" Target="https://meteor.aihw.gov.au/content/611398" TargetMode="External" Id="R9a1924d05ab443ab" /><Relationship Type="http://schemas.openxmlformats.org/officeDocument/2006/relationships/hyperlink" Target="https://meteor.aihw.gov.au/content/722751" TargetMode="External" Id="R57047e099f4f42aa" /><Relationship Type="http://schemas.openxmlformats.org/officeDocument/2006/relationships/hyperlink" Target="https://meteor.aihw.gov.au/content/747309" TargetMode="External" Id="R3e12d405d49944b5" /><Relationship Type="http://schemas.openxmlformats.org/officeDocument/2006/relationships/hyperlink" Target="https://meteor.aihw.gov.au/content/429889" TargetMode="External" Id="R9e7b9877ef0048e8" /><Relationship Type="http://schemas.openxmlformats.org/officeDocument/2006/relationships/hyperlink" Target="https://meteor.aihw.gov.au/content/747311" TargetMode="External" Id="R2e7c77bc24e145bc" /><Relationship Type="http://schemas.openxmlformats.org/officeDocument/2006/relationships/hyperlink" Target="https://meteor.aihw.gov.au/content/747315" TargetMode="External" Id="R0b6349f66d814d02" /></Relationships>
</file>

<file path=word/_rels/header1.xml.rels>&#65279;<?xml version="1.0" encoding="utf-8"?><Relationships xmlns="http://schemas.openxmlformats.org/package/2006/relationships"><Relationship Type="http://schemas.openxmlformats.org/officeDocument/2006/relationships/image" Target="/media/image.png" Id="Re61f5d2345e6422c" /></Relationships>
</file>