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21e1e15c3c4901"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(2021 Census, ASGS Edition 3)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(2021 Census, ASGS Edition 3)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3ac52c225491f">
              <w:r>
                <w:rPr>
                  <w:rStyle w:val="Hyperlink"/>
                  <w:color w:val="244061"/>
                </w:rPr>
                <w:t xml:space="preserve">Early Childhood</w:t>
              </w:r>
            </w:hyperlink>
            <w:r>
              <w:rPr>
                <w:rStyle w:val="row-content"/>
                <w:color w:val="244061"/>
              </w:rPr>
              <w:t xml:space="preserve">, Standard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SEIFA cluster contains data elements that may be used to ascertain a SEIFA score for a geographic area which is a measure of the collective socio-economic status of the people living in the area.</w:t>
            </w:r>
          </w:p>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2021 is a suite of four summary measures produced by the ABS from social and economic information in the 2021 Census of Population and Housing. The indexes reflect the socio-economic wellbeing of a geographic area, rather than that of individuals. They were calculated at the Statistical Area Level 1 (SA1), and reflect SA1 characteristics. For each index, every geographic area in Australia is given a SEIFA score which measures how relatively 'advantaged' or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2021 are:</w:t>
            </w:r>
          </w:p>
          <w:p>
            <w:pPr>
              <w:pStyle w:val="ListParagraph"/>
              <w:numPr>
                <w:ilvl w:val="0"/>
                <w:numId w:val="2"/>
              </w:numPr>
            </w:pPr>
            <w:r>
              <w:rPr>
                <w:rStyle w:val="row-content-rich-text"/>
              </w:rPr>
              <w:t xml:space="preserve">Index of Relative Socio-economic Disadvantage (IRSD): IRSD is a general socio-economic index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(IRSAD): IRSAD is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(IER): IER summarises variables relating to the financial aspects of relative socioeconomic advantage and disadvantage. These include indicators of high and low income, as well as variables that correlate with high or low wealth.</w:t>
            </w:r>
          </w:p>
          <w:p>
            <w:pPr>
              <w:pStyle w:val="ListParagraph"/>
              <w:numPr>
                <w:ilvl w:val="0"/>
                <w:numId w:val="2"/>
              </w:numPr>
            </w:pPr>
            <w:r>
              <w:rPr>
                <w:rStyle w:val="row-content-rich-text"/>
              </w:rPr>
              <w:t xml:space="preserve">Index of Education and Occupation (IEO): IEO summarises variables relating to the educational and occupational aspects of relative socio-economic advantage and disadvantage. This index focuses on the skills of the people in an area, both formal qualifications and the skills required to perform different occupations.</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The Australian Statistical Geography Standard (ASGS) (</w:t>
            </w:r>
            <w:hyperlink w:history="true" r:id="R88e2bd0ede3744cd">
              <w:r>
                <w:rPr>
                  <w:rStyle w:val="Hyperlink"/>
                </w:rPr>
                <w:t xml:space="preserve">ABS Australian Statistical Geography Standard (ASGS)</w:t>
              </w:r>
            </w:hyperlink>
            <w:r>
              <w:rPr>
                <w:rStyle w:val="row-content-rich-text"/>
              </w:rPr>
              <w:t xml:space="preserve">) is the main geographical framework for the 2021 Census.</w:t>
            </w:r>
          </w:p>
          <w:p>
            <w:pPr>
              <w:spacing w:after="160"/>
            </w:pPr>
            <w:r>
              <w:rPr>
                <w:rStyle w:val="row-content-rich-text"/>
              </w:rPr>
              <w:t xml:space="preserve">Data cubes for the SEIFA 2021 indexes are available for the following geographic units:</w:t>
            </w:r>
          </w:p>
          <w:p>
            <w:pPr>
              <w:pStyle w:val="ListParagraph"/>
              <w:numPr>
                <w:ilvl w:val="0"/>
                <w:numId w:val="3"/>
              </w:numPr>
            </w:pPr>
            <w:r>
              <w:rPr>
                <w:rStyle w:val="row-content-rich-text"/>
              </w:rPr>
              <w:t xml:space="preserve">Statistical Area Level 1 (SA1);</w:t>
            </w:r>
            <w:r>
              <w:br/>
            </w:r>
          </w:p>
          <w:p>
            <w:pPr>
              <w:pStyle w:val="ListParagraph"/>
              <w:numPr>
                <w:ilvl w:val="0"/>
                <w:numId w:val="3"/>
              </w:numPr>
            </w:pPr>
            <w:r>
              <w:rPr>
                <w:rStyle w:val="row-content-rich-text"/>
              </w:rPr>
              <w:t xml:space="preserve">Statistical Area Level 2 (SA2);</w:t>
            </w:r>
            <w:r>
              <w:br/>
            </w:r>
          </w:p>
          <w:p>
            <w:pPr>
              <w:pStyle w:val="ListParagraph"/>
              <w:numPr>
                <w:ilvl w:val="0"/>
                <w:numId w:val="3"/>
              </w:numPr>
            </w:pPr>
            <w:r>
              <w:rPr>
                <w:rStyle w:val="row-content-rich-text"/>
              </w:rPr>
              <w:t xml:space="preserve">Local Government Area (LGA);</w:t>
            </w:r>
          </w:p>
          <w:p>
            <w:pPr>
              <w:pStyle w:val="ListParagraph"/>
              <w:numPr>
                <w:ilvl w:val="0"/>
                <w:numId w:val="3"/>
              </w:numPr>
            </w:pPr>
            <w:r>
              <w:rPr>
                <w:rStyle w:val="row-content-rich-text"/>
              </w:rPr>
              <w:t xml:space="preserve">State Suburb (SSC); and</w:t>
            </w:r>
            <w:r>
              <w:br/>
            </w:r>
          </w:p>
          <w:p>
            <w:pPr>
              <w:pStyle w:val="ListParagraph"/>
              <w:numPr>
                <w:ilvl w:val="0"/>
                <w:numId w:val="3"/>
              </w:numPr>
            </w:pPr>
            <w:r>
              <w:rPr>
                <w:rStyle w:val="row-content-rich-text"/>
              </w:rPr>
              <w:t xml:space="preserve">Postal Area (POA).</w:t>
            </w:r>
            <w:r>
              <w:br/>
            </w:r>
          </w:p>
          <w:p>
            <w:pPr>
              <w:spacing w:after="160"/>
            </w:pPr>
            <w:r>
              <w:rPr>
                <w:rStyle w:val="row-content-rich-text"/>
              </w:rPr>
              <w:t xml:space="preserve">The basic geographic unit used to create SEIFA 2021 is SA1. LGAs are larger geographic units in the ASGS. POAs are an SA1-based approximation of Australia Post postcodes.</w:t>
            </w:r>
          </w:p>
          <w:p>
            <w:pPr>
              <w:spacing w:after="160"/>
            </w:pPr>
            <w:r>
              <w:rPr>
                <w:rStyle w:val="row-content-rich-text"/>
              </w:rPr>
              <w:t xml:space="preserve">The data cube for the SA1 level indexes contains the index scores for each of the four indexes, as well as the associated ranks, deciles and percentiles at the national and state/territory level. All other data cubes are derived from the SA1 level data cube.</w:t>
            </w:r>
          </w:p>
          <w:p>
            <w:pPr>
              <w:spacing w:after="160"/>
            </w:pPr>
            <w:r>
              <w:rPr>
                <w:rStyle w:val="row-content-rich-text"/>
              </w:rPr>
              <w:t xml:space="preserve">Population Distribution and SA1 Distribution data cubes have also been released by the ABS to assist users in understand the diversity of the socio-economic conditions of SA1s within larger areas.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The data elements listed below are used to determine the geographic unit which can be examined on the SEIFA indexes.</w:t>
            </w:r>
          </w:p>
          <w:p>
            <w:pPr>
              <w:spacing w:after="160"/>
            </w:pPr>
            <w:r>
              <w:rPr>
                <w:rStyle w:val="row-content-rich-text"/>
                <w:u w:val="single"/>
              </w:rPr>
              <w:t xml:space="preserve">Statistical Area Level 1 (SA1)</w:t>
            </w:r>
            <w:r>
              <w:rPr>
                <w:rStyle w:val="row-content-rich-text"/>
              </w:rPr>
              <w:t xml:space="preserve">: For an SA1 geographic unit either of the following data elements can be collected:</w:t>
            </w:r>
          </w:p>
          <w:p>
            <w:pPr>
              <w:pStyle w:val="ListParagraph"/>
              <w:numPr>
                <w:ilvl w:val="0"/>
                <w:numId w:val="4"/>
              </w:numPr>
            </w:pPr>
            <w:r>
              <w:rPr>
                <w:rStyle w:val="row-content-rich-text"/>
              </w:rPr>
              <w:t xml:space="preserve">Person—area of usual residence, statistical area level 1 (SA1) code (ASGS Edition 3) N(11); or</w:t>
            </w:r>
          </w:p>
          <w:p>
            <w:pPr>
              <w:pStyle w:val="ListParagraph"/>
              <w:numPr>
                <w:ilvl w:val="0"/>
                <w:numId w:val="4"/>
              </w:numPr>
            </w:pPr>
            <w:r>
              <w:rPr>
                <w:rStyle w:val="row-content-rich-text"/>
              </w:rPr>
              <w:t xml:space="preserve">Address—statistical area, level 1 (SA1) code (ASGS Edition 3) N(11)</w:t>
            </w:r>
          </w:p>
          <w:p>
            <w:pPr>
              <w:spacing w:after="160"/>
            </w:pPr>
            <w:r>
              <w:rPr>
                <w:rStyle w:val="row-content-rich-text"/>
                <w:u w:val="single"/>
              </w:rPr>
              <w:t xml:space="preserve">Statistical Area Level 2 (SA2)</w:t>
            </w:r>
            <w:r>
              <w:rPr>
                <w:rStyle w:val="row-content-rich-text"/>
              </w:rPr>
              <w:t xml:space="preserve">: For an SA2 geographic unit the following data element can be collected:</w:t>
            </w:r>
          </w:p>
          <w:p>
            <w:pPr>
              <w:pStyle w:val="ListParagraph"/>
              <w:numPr>
                <w:ilvl w:val="0"/>
                <w:numId w:val="5"/>
              </w:numPr>
            </w:pPr>
            <w:r>
              <w:rPr>
                <w:rStyle w:val="row-content-rich-text"/>
              </w:rPr>
              <w:t xml:space="preserve">Person—area of usual residence, statistical area level 2 (SA2) code (ASGS Edition 3) N(9).</w:t>
            </w:r>
          </w:p>
          <w:p>
            <w:pPr>
              <w:spacing w:after="160"/>
            </w:pPr>
            <w:r>
              <w:rPr>
                <w:rStyle w:val="row-content-rich-text"/>
                <w:u w:val="single"/>
              </w:rPr>
              <w:t xml:space="preserve">Collection of locality, postcode and state/territory</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The collection of residential postcode + locality + state/territory can be mapped to SA2. Where locality, postcode and state/territory are collected, there are a number of concordance/correspondence files available from </w:t>
            </w:r>
            <w:hyperlink w:history="true" r:id="R8dd4ae2f90b94312">
              <w:r>
                <w:rPr>
                  <w:rStyle w:val="Hyperlink"/>
                </w:rPr>
                <w:t xml:space="preserve">geography@abs.gov.au</w:t>
              </w:r>
            </w:hyperlink>
            <w:r>
              <w:rPr>
                <w:rStyle w:val="row-content-rich-text"/>
              </w:rPr>
              <w:t xml:space="preserve"> which can assist in assigning geographic area codes, such as:</w:t>
            </w:r>
            <w:r>
              <w:rPr>
                <w:rStyle w:val="row-content-rich-text"/>
              </w:rPr>
              <w:t xml:space="preserve"> </w:t>
            </w:r>
          </w:p>
          <w:p>
            <w:pPr>
              <w:pStyle w:val="ListParagraph"/>
              <w:numPr>
                <w:ilvl w:val="0"/>
                <w:numId w:val="6"/>
              </w:numPr>
            </w:pPr>
            <w:r>
              <w:rPr>
                <w:rStyle w:val="row-content-rich-text"/>
              </w:rPr>
              <w:t xml:space="preserve">2021 Urban centres and localities (and postcode and state/territory) to 2021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2d08c8b973c480f">
              <w:r>
                <w:rPr>
                  <w:rStyle w:val="Hyperlink"/>
                </w:rPr>
                <w:t xml:space="preserve">Summary: Census of Population and Housing: Socio-Economic Indexes for Areas (SEIFA), Australia, 2016 (ABS cat no 2033.0.55.001)</w:t>
              </w:r>
            </w:hyperlink>
          </w:p>
          <w:p>
            <w:hyperlink w:history="true" r:id="R977ac27602c44efa">
              <w:r>
                <w:rPr>
                  <w:rStyle w:val="Hyperlink"/>
                </w:rPr>
                <w:t xml:space="preserve">Socio-Economic Indexes for Areas (SEIFA) - Technical Paper 2016 (ABS cat no 2033.0.55.001)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23f68dae6b412f">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91ab6f0e4414480b">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093c6e031661464a">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1855aaeb8f4447">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861fef84c7f247d1">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2021</w:t>
            </w:r>
            <w:r>
              <w:rPr>
                <w:rStyle w:val="row-content"/>
              </w:rPr>
              <w:t xml:space="preserve"> the data element </w:t>
            </w:r>
            <w:hyperlink w:history="true" r:id="R8d0b688105074407">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2e7a96ae745b3">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9affdb5ca44a9b">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95a46a9d55437c">
                    <w:r>
                      <w:rPr>
                        <w:rStyle w:val="Hyperlink"/>
                      </w:rPr>
                      <w:t xml:space="preserve">Address—statistical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6a705f6ef9483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0cb1944a94011">
                    <w:r>
                      <w:rPr>
                        <w:rStyle w:val="Hyperlink"/>
                      </w:rPr>
                      <w:t xml:space="preserve">Person—area of usual residence, 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50844bc294e09">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b19003b0b040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762080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ddc44439a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19003b0b040aa" /><Relationship Type="http://schemas.openxmlformats.org/officeDocument/2006/relationships/header" Target="/word/header1.xml" Id="R1228d89036194404" /><Relationship Type="http://schemas.openxmlformats.org/officeDocument/2006/relationships/settings" Target="/word/settings.xml" Id="Rae6465b8b730450d" /><Relationship Type="http://schemas.openxmlformats.org/officeDocument/2006/relationships/styles" Target="/word/styles.xml" Id="R28979a2d29ef4dbb" /><Relationship Type="http://schemas.openxmlformats.org/officeDocument/2006/relationships/hyperlink" Target="https://meteor.aihw.gov.au/RegistrationAuthority/13" TargetMode="External" Id="Rb923ac52c225491f" /><Relationship Type="http://schemas.openxmlformats.org/officeDocument/2006/relationships/numbering" Target="/word/numbering.xml" Id="R3fd32f226231434b" /><Relationship Type="http://schemas.openxmlformats.org/officeDocument/2006/relationships/hyperlink" Target="https://www.abs.gov.au/statistics/statistical-geography/australian-statistical-geography-standard-asgs" TargetMode="External" Id="R88e2bd0ede3744cd" /><Relationship Type="http://schemas.openxmlformats.org/officeDocument/2006/relationships/hyperlink" Target="mailto:geography@abs.gov.au" TargetMode="External" Id="R8dd4ae2f90b94312" /><Relationship Type="http://schemas.openxmlformats.org/officeDocument/2006/relationships/hyperlink" Target="http://www.abs.gov.au/ausstats/abs@.nsf/mf/2033.0.55.001" TargetMode="External" Id="Rf2d08c8b973c480f" /><Relationship Type="http://schemas.openxmlformats.org/officeDocument/2006/relationships/hyperlink" Target="http://www.ausstats.abs.gov.au/ausstats/subscriber.nsf/0/756EE3DBEFA869EFCA258259000BA746/$File/SEIFA%202016%20Technical%20Paper.pdf" TargetMode="External" Id="R977ac27602c44efa" /><Relationship Type="http://schemas.openxmlformats.org/officeDocument/2006/relationships/hyperlink" Target="https://meteor.aihw.gov.au/content/695778" TargetMode="External" Id="Rf423f68dae6b412f" /><Relationship Type="http://schemas.openxmlformats.org/officeDocument/2006/relationships/hyperlink" Target="https://meteor.aihw.gov.au/RegistrationAuthority/13" TargetMode="External" Id="R91ab6f0e4414480b" /><Relationship Type="http://schemas.openxmlformats.org/officeDocument/2006/relationships/hyperlink" Target="https://meteor.aihw.gov.au/RegistrationAuthority/12" TargetMode="External" Id="R093c6e031661464a" /><Relationship Type="http://schemas.openxmlformats.org/officeDocument/2006/relationships/hyperlink" Target="https://meteor.aihw.gov.au/content/772443" TargetMode="External" Id="R7e1855aaeb8f4447" /><Relationship Type="http://schemas.openxmlformats.org/officeDocument/2006/relationships/hyperlink" Target="https://meteor.aihw.gov.au/RegistrationAuthority/13" TargetMode="External" Id="R861fef84c7f247d1" /><Relationship Type="http://schemas.openxmlformats.org/officeDocument/2006/relationships/hyperlink" Target="https://meteor.aihw.gov.au/content/660637" TargetMode="External" Id="R8d0b688105074407" /><Relationship Type="http://schemas.openxmlformats.org/officeDocument/2006/relationships/hyperlink" Target="https://meteor.aihw.gov.au/content/611398" TargetMode="External" Id="Rc822e7a96ae745b3" /><Relationship Type="http://schemas.openxmlformats.org/officeDocument/2006/relationships/hyperlink" Target="https://meteor.aihw.gov.au/content/722751" TargetMode="External" Id="R0e9affdb5ca44a9b" /><Relationship Type="http://schemas.openxmlformats.org/officeDocument/2006/relationships/hyperlink" Target="https://meteor.aihw.gov.au/content/747309" TargetMode="External" Id="Red95a46a9d55437c" /><Relationship Type="http://schemas.openxmlformats.org/officeDocument/2006/relationships/hyperlink" Target="https://meteor.aihw.gov.au/content/429889" TargetMode="External" Id="R3d6a705f6ef94830" /><Relationship Type="http://schemas.openxmlformats.org/officeDocument/2006/relationships/hyperlink" Target="https://meteor.aihw.gov.au/content/747311" TargetMode="External" Id="R96d0cb1944a94011" /><Relationship Type="http://schemas.openxmlformats.org/officeDocument/2006/relationships/hyperlink" Target="https://meteor.aihw.gov.au/content/747315" TargetMode="External" Id="Rff950844bc294e09" /></Relationships>
</file>

<file path=word/_rels/header1.xml.rels>&#65279;<?xml version="1.0" encoding="utf-8"?><Relationships xmlns="http://schemas.openxmlformats.org/package/2006/relationships"><Relationship Type="http://schemas.openxmlformats.org/officeDocument/2006/relationships/image" Target="/media/image.png" Id="Rc0bddc44439a412d" /></Relationships>
</file>