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dedf30bc07241c6" /></Relationships>
</file>

<file path=word/document.xml><?xml version="1.0" encoding="utf-8"?>
<w:document xmlns:r="http://schemas.openxmlformats.org/officeDocument/2006/relationships" xmlns:w="http://schemas.openxmlformats.org/wordprocessingml/2006/main">
  <w:body>
    <w:p>
      <w:pPr>
        <w:pStyle w:val="Title"/>
      </w:pPr>
      <w:r>
        <w:t>Mental health survey version code XX[XXX]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survey version code 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761540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fbd32145c84fcd">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versions of clinician- and consumer-rated mental health measures.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A1</w:t>
            </w:r>
          </w:p>
        </w:tc>
        <w:tc>
          <w:tcPr>
            <w:tcBorders>
              <w:top w:val="none" w:color="000000" w:sz="0"/>
              <w:left w:val="none" w:color="000000" w:sz="0"/>
              <w:bottom w:val="none" w:color="000000" w:sz="0"/>
              <w:right w:val="none" w:color="000000" w:sz="0"/>
            </w:tcBorders>
            <w:vAlign w:val="top"/>
          </w:tcPr>
          <w:p>
            <w:r>
              <w:t xml:space="preserve">General adult version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G1</w:t>
            </w:r>
          </w:p>
        </w:tc>
        <w:tc>
          <w:tcPr>
            <w:tcBorders>
              <w:top w:val="none" w:color="000000" w:sz="0"/>
              <w:left w:val="none" w:color="000000" w:sz="0"/>
              <w:bottom w:val="none" w:color="000000" w:sz="0"/>
              <w:right w:val="none" w:color="000000" w:sz="0"/>
            </w:tcBorders>
            <w:vAlign w:val="top"/>
          </w:tcPr>
          <w:p>
            <w:r>
              <w:t xml:space="preserve">HoNOS 65+ version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G2</w:t>
            </w:r>
          </w:p>
        </w:tc>
        <w:tc>
          <w:tcPr>
            <w:tcBorders>
              <w:top w:val="none" w:color="000000" w:sz="0"/>
              <w:left w:val="none" w:color="000000" w:sz="0"/>
              <w:bottom w:val="none" w:color="000000" w:sz="0"/>
              <w:right w:val="none" w:color="000000" w:sz="0"/>
            </w:tcBorders>
            <w:vAlign w:val="top"/>
          </w:tcPr>
          <w:p>
            <w:r>
              <w:t xml:space="preserve">HoNOS 65+ version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Version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M1</w:t>
            </w:r>
          </w:p>
        </w:tc>
        <w:tc>
          <w:tcPr>
            <w:tcBorders>
              <w:top w:val="none" w:color="000000" w:sz="0"/>
              <w:left w:val="none" w:color="000000" w:sz="0"/>
              <w:bottom w:val="none" w:color="000000" w:sz="0"/>
              <w:right w:val="none" w:color="000000" w:sz="0"/>
            </w:tcBorders>
            <w:vAlign w:val="top"/>
          </w:tcPr>
          <w:p>
            <w:r>
              <w:t xml:space="preserve">Last 4 weeks version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Last 3 days version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PC101</w:t>
            </w:r>
          </w:p>
        </w:tc>
        <w:tc>
          <w:tcPr>
            <w:tcBorders>
              <w:top w:val="none" w:color="000000" w:sz="0"/>
              <w:left w:val="none" w:color="000000" w:sz="0"/>
              <w:bottom w:val="none" w:color="000000" w:sz="0"/>
              <w:right w:val="none" w:color="000000" w:sz="0"/>
            </w:tcBorders>
            <w:vAlign w:val="top"/>
          </w:tcPr>
          <w:p>
            <w:r>
              <w:t xml:space="preserve">Parent Report Measure for children aged 4-10 years, Baseline version, Australian Version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PC201</w:t>
            </w:r>
          </w:p>
        </w:tc>
        <w:tc>
          <w:tcPr>
            <w:tcBorders>
              <w:top w:val="none" w:color="000000" w:sz="0"/>
              <w:left w:val="none" w:color="000000" w:sz="0"/>
              <w:bottom w:val="none" w:color="000000" w:sz="0"/>
              <w:right w:val="none" w:color="000000" w:sz="0"/>
            </w:tcBorders>
            <w:vAlign w:val="top"/>
          </w:tcPr>
          <w:p>
            <w:r>
              <w:t xml:space="preserve">Parent Report Measure for children aged 4-10 years, Follow up version, Australian Version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PY101</w:t>
            </w:r>
          </w:p>
        </w:tc>
        <w:tc>
          <w:tcPr>
            <w:tcBorders>
              <w:top w:val="none" w:color="000000" w:sz="0"/>
              <w:left w:val="none" w:color="000000" w:sz="0"/>
              <w:bottom w:val="none" w:color="000000" w:sz="0"/>
              <w:right w:val="none" w:color="000000" w:sz="0"/>
            </w:tcBorders>
            <w:vAlign w:val="top"/>
          </w:tcPr>
          <w:p>
            <w:r>
              <w:t xml:space="preserve">Parent Report Measure for children aged 11-17 years, Baseline version, Australian Version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PY201</w:t>
            </w:r>
          </w:p>
        </w:tc>
        <w:tc>
          <w:tcPr>
            <w:tcBorders>
              <w:top w:val="none" w:color="000000" w:sz="0"/>
              <w:left w:val="none" w:color="000000" w:sz="0"/>
              <w:bottom w:val="none" w:color="000000" w:sz="0"/>
              <w:right w:val="none" w:color="000000" w:sz="0"/>
            </w:tcBorders>
            <w:vAlign w:val="top"/>
          </w:tcPr>
          <w:p>
            <w:r>
              <w:t xml:space="preserve">Parent Report Measure for children aged 11-17 years, Follow up version, Australian Version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YR101</w:t>
            </w:r>
          </w:p>
        </w:tc>
        <w:tc>
          <w:tcPr>
            <w:tcBorders>
              <w:top w:val="none" w:color="000000" w:sz="0"/>
              <w:left w:val="none" w:color="000000" w:sz="0"/>
              <w:bottom w:val="none" w:color="000000" w:sz="0"/>
              <w:right w:val="none" w:color="000000" w:sz="0"/>
            </w:tcBorders>
            <w:vAlign w:val="top"/>
          </w:tcPr>
          <w:p>
            <w:r>
              <w:t xml:space="preserve">Youth Self-report Measure, 11-17 years, Baseline version, Australian Version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YR201</w:t>
            </w:r>
          </w:p>
        </w:tc>
        <w:tc>
          <w:tcPr>
            <w:tcBorders>
              <w:top w:val="none" w:color="000000" w:sz="0"/>
              <w:left w:val="none" w:color="000000" w:sz="0"/>
              <w:bottom w:val="none" w:color="000000" w:sz="0"/>
              <w:right w:val="none" w:color="000000" w:sz="0"/>
            </w:tcBorders>
            <w:vAlign w:val="top"/>
          </w:tcPr>
          <w:p>
            <w:r>
              <w:t xml:space="preserve">Youth Self-report Measure, 11-17 years, Follow up version, Australian Version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br/>
            </w:r>
            <w:r>
              <w:t xml:space="preserve"> </w:t>
            </w:r>
          </w:p>
        </w:tc>
        <w:tc>
          <w:tcPr>
            <w:tcBorders>
              <w:top w:val="none" w:color="000000" w:sz="0"/>
              <w:left w:val="none" w:color="000000" w:sz="0"/>
              <w:bottom w:val="none" w:color="000000" w:sz="0"/>
              <w:right w:val="none" w:color="000000" w:sz="0"/>
            </w:tcBorders>
            <w:vAlign w:val="top"/>
          </w:tcPr>
          <w:p>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A1     General adult version</w:t>
            </w:r>
          </w:p>
          <w:p>
            <w:pPr>
              <w:spacing w:after="160"/>
            </w:pPr>
            <w:r>
              <w:rPr>
                <w:rStyle w:val="row-content-rich-text"/>
              </w:rPr>
              <w:t xml:space="preserve">This code is used for the Health of the Nation Outcome Scale (HoNOS) clinician-rated measure general adult version. It applies when rating consumers aged 18-64. It should be used in conjunction with </w:t>
            </w:r>
            <w:hyperlink w:history="true" r:id="R57f6562730554357">
              <w:r>
                <w:rPr>
                  <w:rStyle w:val="Hyperlink"/>
                </w:rPr>
                <w:t xml:space="preserve">Person—level of psychiatric symptom severity, Health of the Nation Outcome Scale score code N.</w:t>
              </w:r>
            </w:hyperlink>
            <w:r>
              <w:rPr>
                <w:rStyle w:val="row-content-rich-text"/>
              </w:rPr>
              <w:t xml:space="preserve"> </w:t>
            </w:r>
          </w:p>
          <w:p>
            <w:pPr>
              <w:spacing w:after="160"/>
            </w:pPr>
            <w:r>
              <w:rPr>
                <w:rStyle w:val="row-content-rich-text"/>
              </w:rPr>
              <w:t xml:space="preserve">CODE G1     HoNOS 65+ version</w:t>
            </w:r>
          </w:p>
          <w:p>
            <w:pPr>
              <w:spacing w:after="160"/>
            </w:pPr>
            <w:r>
              <w:rPr>
                <w:rStyle w:val="row-content-rich-text"/>
              </w:rPr>
              <w:t xml:space="preserve">This code may be used for the HoNOS clinician-rated measure older person version. It applies when rating consumers aged 65 and over.</w:t>
            </w:r>
          </w:p>
          <w:p>
            <w:pPr>
              <w:spacing w:after="160"/>
            </w:pPr>
            <w:r>
              <w:rPr>
                <w:rStyle w:val="row-content-rich-text"/>
              </w:rPr>
              <w:t xml:space="preserve">Please note, this version is not currently recommended for use in Australia.</w:t>
            </w:r>
          </w:p>
          <w:p>
            <w:pPr>
              <w:spacing w:after="160"/>
            </w:pPr>
            <w:r>
              <w:rPr>
                <w:rStyle w:val="row-content-rich-text"/>
              </w:rPr>
              <w:t xml:space="preserve">It should be used in conjunction with </w:t>
            </w:r>
            <w:hyperlink w:history="true" r:id="Rf6ac6f2b76b94e2f">
              <w:r>
                <w:rPr>
                  <w:rStyle w:val="Hyperlink"/>
                </w:rPr>
                <w:t xml:space="preserve">Person—level of psychiatric symptom severity, Health of the Nation Outcome Scale score code N</w:t>
              </w:r>
            </w:hyperlink>
            <w:r>
              <w:rPr>
                <w:rStyle w:val="row-content-rich-text"/>
              </w:rPr>
              <w:t xml:space="preserve">.  </w:t>
            </w:r>
          </w:p>
          <w:p>
            <w:pPr>
              <w:spacing w:after="160"/>
            </w:pPr>
            <w:r>
              <w:rPr>
                <w:rStyle w:val="row-content-rich-text"/>
              </w:rPr>
              <w:t xml:space="preserve">CODE G2     HoNOS 65+ version 3</w:t>
            </w:r>
          </w:p>
          <w:p>
            <w:pPr>
              <w:spacing w:after="160"/>
            </w:pPr>
            <w:r>
              <w:rPr>
                <w:rStyle w:val="row-content-rich-text"/>
              </w:rPr>
              <w:t xml:space="preserve">This code may be used for the HoNOS clinician-rated measure older person version.</w:t>
            </w:r>
          </w:p>
          <w:p>
            <w:pPr>
              <w:spacing w:after="160"/>
            </w:pPr>
            <w:r>
              <w:rPr>
                <w:rStyle w:val="row-content-rich-text"/>
              </w:rPr>
              <w:t xml:space="preserve">Please note, this version is not currently recommended for use in Australia.</w:t>
            </w:r>
          </w:p>
          <w:p>
            <w:pPr>
              <w:spacing w:after="160"/>
            </w:pPr>
            <w:r>
              <w:rPr>
                <w:rStyle w:val="row-content-rich-text"/>
              </w:rPr>
              <w:t xml:space="preserve">It applies when rating consumers aged 65 and over. It should be used in conjunction with </w:t>
            </w:r>
            <w:hyperlink w:history="true" r:id="Reb1015baed5541b3">
              <w:r>
                <w:rPr>
                  <w:rStyle w:val="Hyperlink"/>
                </w:rPr>
                <w:t xml:space="preserve">Person—level of psychiatric symptom severity, Health of the Nation Outcome Scale score code N</w:t>
              </w:r>
            </w:hyperlink>
            <w:r>
              <w:rPr>
                <w:rStyle w:val="row-content-rich-text"/>
              </w:rPr>
              <w:t xml:space="preserve"> .</w:t>
            </w:r>
          </w:p>
          <w:p>
            <w:pPr>
              <w:spacing w:after="160"/>
            </w:pPr>
            <w:r>
              <w:rPr>
                <w:rStyle w:val="row-content-rich-text"/>
              </w:rPr>
              <w:t xml:space="preserve">CODE 01     Version 01</w:t>
            </w:r>
          </w:p>
          <w:p>
            <w:pPr>
              <w:spacing w:after="160"/>
            </w:pPr>
            <w:r>
              <w:rPr>
                <w:rStyle w:val="row-content-rich-text"/>
              </w:rPr>
              <w:t xml:space="preserve">This code is used for the following surveys:</w:t>
            </w:r>
          </w:p>
          <w:p>
            <w:pPr>
              <w:pStyle w:val="ListParagraph"/>
              <w:numPr>
                <w:ilvl w:val="0"/>
                <w:numId w:val="2"/>
              </w:numPr>
            </w:pPr>
            <w:r>
              <w:rPr>
                <w:rStyle w:val="row-content-rich-text"/>
              </w:rPr>
              <w:t xml:space="preserve">Abbreviated Life Skills Profile (LSP-16): </w:t>
            </w:r>
            <w:hyperlink w:history="true" r:id="R37069426b05e45a5">
              <w:r>
                <w:rPr>
                  <w:rStyle w:val="Hyperlink"/>
                </w:rPr>
                <w:t xml:space="preserve">Person—level of difficulty with activities in a life area, abbreviated Life Skills Profile score code N,</w:t>
              </w:r>
            </w:hyperlink>
          </w:p>
          <w:p>
            <w:pPr>
              <w:pStyle w:val="ListParagraph"/>
              <w:numPr>
                <w:ilvl w:val="0"/>
                <w:numId w:val="2"/>
              </w:numPr>
            </w:pPr>
            <w:r>
              <w:rPr>
                <w:rStyle w:val="row-content-rich-text"/>
              </w:rPr>
              <w:t xml:space="preserve">Behavior and Symptom Identification Scale (BASIS-32): </w:t>
            </w:r>
            <w:hyperlink w:history="true" r:id="R93a27b2d617443d1">
              <w:r>
                <w:rPr>
                  <w:rStyle w:val="Hyperlink"/>
                </w:rPr>
                <w:t xml:space="preserve">Person—self-assessed mental health status, BASIS-32 score code N</w:t>
              </w:r>
            </w:hyperlink>
            <w:r>
              <w:rPr>
                <w:rStyle w:val="row-content-rich-text"/>
              </w:rPr>
              <w:t xml:space="preserve">,</w:t>
            </w:r>
          </w:p>
          <w:p>
            <w:pPr>
              <w:pStyle w:val="ListParagraph"/>
              <w:numPr>
                <w:ilvl w:val="0"/>
                <w:numId w:val="2"/>
              </w:numPr>
            </w:pPr>
            <w:r>
              <w:rPr>
                <w:rStyle w:val="row-content-rich-text"/>
              </w:rPr>
              <w:t xml:space="preserve">Mental Health Inventory (MHI-38): </w:t>
            </w:r>
            <w:hyperlink w:history="true" r:id="R80a77b61091e455e">
              <w:r>
                <w:rPr>
                  <w:rStyle w:val="Hyperlink"/>
                </w:rPr>
                <w:t xml:space="preserve">Person—self-assessed mental health status, score code N,</w:t>
              </w:r>
            </w:hyperlink>
          </w:p>
          <w:p>
            <w:pPr>
              <w:pStyle w:val="ListParagraph"/>
              <w:numPr>
                <w:ilvl w:val="0"/>
                <w:numId w:val="2"/>
              </w:numPr>
            </w:pPr>
            <w:r>
              <w:rPr>
                <w:rStyle w:val="row-content-rich-text"/>
              </w:rPr>
              <w:t xml:space="preserve">Resource Utilisation Groups - Activities of Daily Living (RUG-ADL): </w:t>
            </w:r>
            <w:hyperlink w:history="true" r:id="R0715cbdf2dab4ef5">
              <w:r>
                <w:rPr>
                  <w:rStyle w:val="Hyperlink"/>
                </w:rPr>
                <w:t xml:space="preserve">Person—level of functional independence, Resource Utilisation Groups - Activities of Daily Living score code N,</w:t>
              </w:r>
            </w:hyperlink>
          </w:p>
          <w:p>
            <w:pPr>
              <w:pStyle w:val="ListParagraph"/>
              <w:numPr>
                <w:ilvl w:val="0"/>
                <w:numId w:val="2"/>
              </w:numPr>
            </w:pPr>
            <w:r>
              <w:rPr>
                <w:rStyle w:val="row-content-rich-text"/>
              </w:rPr>
              <w:t xml:space="preserve">Health of the Nation Outcome Scales Child and Adolescent (HoNOSCA): </w:t>
            </w:r>
            <w:hyperlink w:history="true" r:id="R248a99717496411a">
              <w:r>
                <w:rPr>
                  <w:rStyle w:val="Hyperlink"/>
                </w:rPr>
                <w:t xml:space="preserve">Person—level of psychiatric symptom severity, Health of the Nation Outcome Scale for Children and Adolescents score code N,</w:t>
              </w:r>
            </w:hyperlink>
          </w:p>
          <w:p>
            <w:pPr>
              <w:pStyle w:val="ListParagraph"/>
              <w:numPr>
                <w:ilvl w:val="0"/>
                <w:numId w:val="2"/>
              </w:numPr>
            </w:pPr>
            <w:r>
              <w:rPr>
                <w:rStyle w:val="row-content-rich-text"/>
              </w:rPr>
              <w:t xml:space="preserve">Children's Global Assessment scale (CGAS): </w:t>
            </w:r>
            <w:hyperlink w:history="true" r:id="Rf3c92346088443a8">
              <w:r>
                <w:rPr>
                  <w:rStyle w:val="Hyperlink"/>
                </w:rPr>
                <w:t xml:space="preserve">Person—level of psychiatric symptom severity, Children's Global Assessment Scale score code N[NN],</w:t>
              </w:r>
            </w:hyperlink>
          </w:p>
          <w:p>
            <w:pPr>
              <w:pStyle w:val="ListParagraph"/>
              <w:numPr>
                <w:ilvl w:val="0"/>
                <w:numId w:val="2"/>
              </w:numPr>
            </w:pPr>
            <w:r>
              <w:rPr>
                <w:rStyle w:val="row-content-rich-text"/>
              </w:rPr>
              <w:t xml:space="preserve">Factors Influencing Health Status (FIHS): </w:t>
            </w:r>
            <w:hyperlink w:history="true" r:id="Rf6443a2a02494cd7">
              <w:r>
                <w:rPr>
                  <w:rStyle w:val="Hyperlink"/>
                </w:rPr>
                <w:t xml:space="preserve">Episode of care—FIHS psychosocial complications indicator, yes/no/unable to rate/not stated code N.</w:t>
              </w:r>
            </w:hyperlink>
          </w:p>
          <w:p>
            <w:pPr>
              <w:spacing w:after="160"/>
            </w:pPr>
            <w:r>
              <w:rPr>
                <w:rStyle w:val="row-content-rich-text"/>
              </w:rPr>
              <w:t xml:space="preserve">CODE M1     Last 4 weeks version</w:t>
            </w:r>
          </w:p>
          <w:p>
            <w:pPr>
              <w:spacing w:after="160"/>
            </w:pPr>
            <w:r>
              <w:rPr>
                <w:rStyle w:val="row-content-rich-text"/>
              </w:rPr>
              <w:t xml:space="preserve">This code should be used for the version of the K10 that rates the last 4 weeks, referred to as K10+ because it includes all of the questions in the K10 as well as some supplementary questions. Use this code in conjunction with the </w:t>
            </w:r>
            <w:hyperlink w:history="true" r:id="R429642b88cbe4efd">
              <w:r>
                <w:rPr>
                  <w:rStyle w:val="Hyperlink"/>
                </w:rPr>
                <w:t xml:space="preserve">Kessler Psychological Distress Scale last 4 weeks cluster.</w:t>
              </w:r>
            </w:hyperlink>
          </w:p>
          <w:p>
            <w:pPr>
              <w:spacing w:after="160"/>
            </w:pPr>
            <w:r>
              <w:rPr>
                <w:rStyle w:val="row-content-rich-text"/>
              </w:rPr>
              <w:t xml:space="preserve">CODE 31     Last 3 days version</w:t>
            </w:r>
          </w:p>
          <w:p>
            <w:pPr>
              <w:spacing w:after="160"/>
            </w:pPr>
            <w:r>
              <w:rPr>
                <w:rStyle w:val="row-content-rich-text"/>
              </w:rPr>
              <w:t xml:space="preserve">This code should be used for the Last 3 days version of the K10. The Last 3 days version is a variation of the K10 designed for use in inpatient settings where the episode is of less than 3 days duration. It is used in conjunction with </w:t>
            </w:r>
            <w:hyperlink w:history="true" r:id="Rc9c447557a1b4dfd">
              <w:r>
                <w:rPr>
                  <w:rStyle w:val="Hyperlink"/>
                </w:rPr>
                <w:t xml:space="preserve">Person—self-assessed mental health status, symptom frequency scale code N.</w:t>
              </w:r>
            </w:hyperlink>
          </w:p>
          <w:p>
            <w:pPr>
              <w:spacing w:after="160"/>
            </w:pPr>
            <w:r>
              <w:rPr>
                <w:rStyle w:val="row-content-rich-text"/>
              </w:rPr>
              <w:t xml:space="preserve">CODE PC101     Parent Report Measure for children aged 4-10 years, Baseline version, Australian Version 1</w:t>
            </w:r>
          </w:p>
          <w:p>
            <w:pPr>
              <w:spacing w:after="160"/>
            </w:pPr>
            <w:r>
              <w:rPr>
                <w:rStyle w:val="row-content-rich-text"/>
              </w:rPr>
              <w:t xml:space="preserve">This code is used when the Strengths and Difficulties Questionnaire (SDQ) is initially completed by a parent for their child aged 4-10 years. It should be used in conjunction with the </w:t>
            </w:r>
            <w:hyperlink w:history="true" r:id="R0b369fa683584240">
              <w:r>
                <w:rPr>
                  <w:rStyle w:val="Hyperlink"/>
                </w:rPr>
                <w:t xml:space="preserve">Strengths and Difficulties Questionnaire cluster</w:t>
              </w:r>
            </w:hyperlink>
            <w:r>
              <w:rPr>
                <w:rStyle w:val="row-content-rich-text"/>
              </w:rPr>
              <w:t xml:space="preserve">, which further specifies which questions apply to each version of the survey.</w:t>
            </w:r>
          </w:p>
          <w:p>
            <w:pPr>
              <w:spacing w:after="160"/>
            </w:pPr>
            <w:r>
              <w:rPr>
                <w:rStyle w:val="row-content-rich-text"/>
              </w:rPr>
              <w:t xml:space="preserve">CODE PC201     Parent Report Measure for children aged 4-10 years, Follow up version, Australian Version 1</w:t>
            </w:r>
          </w:p>
          <w:p>
            <w:pPr>
              <w:spacing w:after="160"/>
            </w:pPr>
            <w:r>
              <w:rPr>
                <w:rStyle w:val="row-content-rich-text"/>
              </w:rPr>
              <w:t xml:space="preserve">This code is used when the SDQ is completed by a parent subsequent to the initial survey, for their child aged 4-10 years. It should be used in conjunction with the </w:t>
            </w:r>
            <w:hyperlink w:history="true" r:id="R6bc004d42d0e4faa">
              <w:r>
                <w:rPr>
                  <w:rStyle w:val="Hyperlink"/>
                </w:rPr>
                <w:t xml:space="preserve">Strengths and Difficulties Questionnaire cluster</w:t>
              </w:r>
            </w:hyperlink>
            <w:r>
              <w:rPr>
                <w:rStyle w:val="row-content-rich-text"/>
              </w:rPr>
              <w:t xml:space="preserve">, which further specifies which questions apply to each version of the survey.</w:t>
            </w:r>
          </w:p>
          <w:p>
            <w:pPr>
              <w:spacing w:after="160"/>
            </w:pPr>
            <w:r>
              <w:rPr>
                <w:rStyle w:val="row-content-rich-text"/>
              </w:rPr>
              <w:t xml:space="preserve">CODE PY101     Parent Report Measure for children aged 11-17 years, Baseline version, Australian Version 1</w:t>
            </w:r>
          </w:p>
          <w:p>
            <w:pPr>
              <w:spacing w:after="160"/>
            </w:pPr>
            <w:r>
              <w:rPr>
                <w:rStyle w:val="row-content-rich-text"/>
              </w:rPr>
              <w:t xml:space="preserve">This code is used when the SDQ is completed by a parent for their child aged 11-17 years. It should be used in conjunction with the </w:t>
            </w:r>
            <w:hyperlink w:history="true" r:id="Rae6cd9835fc64625">
              <w:r>
                <w:rPr>
                  <w:rStyle w:val="Hyperlink"/>
                </w:rPr>
                <w:t xml:space="preserve">Strengths and Difficulties Questionnaire cluster</w:t>
              </w:r>
            </w:hyperlink>
            <w:r>
              <w:rPr>
                <w:rStyle w:val="row-content-rich-text"/>
              </w:rPr>
              <w:t xml:space="preserve">, which further specifies which questions apply to each version of the survey.</w:t>
            </w:r>
          </w:p>
          <w:p>
            <w:pPr>
              <w:spacing w:after="160"/>
            </w:pPr>
            <w:r>
              <w:rPr>
                <w:rStyle w:val="row-content-rich-text"/>
              </w:rPr>
              <w:t xml:space="preserve">CODE PY201     Parent Report Measure for children aged 11-17 years, Follow up version, Australian Version 1</w:t>
            </w:r>
          </w:p>
          <w:p>
            <w:pPr>
              <w:spacing w:after="160"/>
            </w:pPr>
            <w:r>
              <w:rPr>
                <w:rStyle w:val="row-content-rich-text"/>
              </w:rPr>
              <w:t xml:space="preserve">This code is used when the SDQ is completed by a parent subsequent to the initial survey, for their child aged 11-17 years. It should be used in conjunction with the </w:t>
            </w:r>
            <w:hyperlink w:history="true" r:id="R64feafa9d2354d47">
              <w:r>
                <w:rPr>
                  <w:rStyle w:val="Hyperlink"/>
                </w:rPr>
                <w:t xml:space="preserve">Strengths and Difficulties Questionnaire cluster</w:t>
              </w:r>
            </w:hyperlink>
            <w:r>
              <w:rPr>
                <w:rStyle w:val="row-content-rich-text"/>
              </w:rPr>
              <w:t xml:space="preserve">, which further specifies which questions apply to each version of the survey.</w:t>
            </w:r>
          </w:p>
          <w:p>
            <w:pPr>
              <w:spacing w:after="160"/>
            </w:pPr>
            <w:r>
              <w:rPr>
                <w:rStyle w:val="row-content-rich-text"/>
              </w:rPr>
              <w:t xml:space="preserve">CODE YR101     Youth Self-report Measure, 11-17 years, Baseline version, Australian Version 1</w:t>
            </w:r>
          </w:p>
          <w:p>
            <w:pPr>
              <w:spacing w:after="160"/>
            </w:pPr>
            <w:r>
              <w:rPr>
                <w:rStyle w:val="row-content-rich-text"/>
              </w:rPr>
              <w:t xml:space="preserve">This code is used when the SDQ is initially completed by person aged 11-17 years about themselves. It should be used in conjunction with the </w:t>
            </w:r>
            <w:hyperlink w:history="true" r:id="R947c6133475d4227">
              <w:r>
                <w:rPr>
                  <w:rStyle w:val="Hyperlink"/>
                </w:rPr>
                <w:t xml:space="preserve">Strengths and Difficulties Questionnaire cluster</w:t>
              </w:r>
            </w:hyperlink>
            <w:r>
              <w:rPr>
                <w:rStyle w:val="row-content-rich-text"/>
              </w:rPr>
              <w:t xml:space="preserve">, which further specifies which questions apply to each version of the survey.</w:t>
            </w:r>
          </w:p>
          <w:p>
            <w:pPr>
              <w:spacing w:after="160"/>
            </w:pPr>
            <w:r>
              <w:rPr>
                <w:rStyle w:val="row-content-rich-text"/>
              </w:rPr>
              <w:t xml:space="preserve">CODE YR201     Youth Self-report Measure, 11-17 years, Follow up version, Australian Version 1</w:t>
            </w:r>
          </w:p>
          <w:p>
            <w:pPr/>
            <w:r>
              <w:rPr>
                <w:rStyle w:val="row-content-rich-text"/>
              </w:rPr>
              <w:t xml:space="preserve">This code is used when the SDQ is completed by person aged 11-17 years about themselves, subsequent to their initial completion. It should be used in conjunction with the </w:t>
            </w:r>
            <w:hyperlink w:history="true" r:id="Rc48d7003af3e46dd">
              <w:r>
                <w:rPr>
                  <w:rStyle w:val="Hyperlink"/>
                </w:rPr>
                <w:t xml:space="preserve">Strengths and Difficulties Questionnaire cluster</w:t>
              </w:r>
            </w:hyperlink>
            <w:r>
              <w:rPr>
                <w:rStyle w:val="row-content-rich-text"/>
              </w:rPr>
              <w:t xml:space="preserve">, which further specifies which questions apply to each version of the survey.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HoNOS General adult version:</w:t>
            </w:r>
          </w:p>
          <w:p>
            <w:pPr>
              <w:spacing w:after="160"/>
            </w:pPr>
            <w:r>
              <w:rPr>
                <w:rStyle w:val="row-content-rich-text"/>
              </w:rPr>
              <w:t xml:space="preserve">Wing J, Beevor A, Curtis R, Park S, Hadden S, Burns A (1998) Health of the Nation Outcome Scales (HoNOS). Research and development. British Journal of Psychiatry, 172, 11-18.</w:t>
            </w:r>
          </w:p>
          <w:p>
            <w:pPr>
              <w:spacing w:after="160"/>
            </w:pPr>
            <w:r>
              <w:rPr>
                <w:rStyle w:val="row-content-rich-text"/>
              </w:rPr>
              <w:t xml:space="preserve">Wing J, Curtis R, Beevor A (1999) Health of the Nation Outcome Scales (HoNOS): Glossary for HoNOS score sheet. British Journal of Psychiatry, 174, 432–434.</w:t>
            </w:r>
          </w:p>
          <w:p>
            <w:pPr>
              <w:spacing w:after="160"/>
            </w:pPr>
            <w:r>
              <w:rPr>
                <w:rStyle w:val="row-content-rich-text"/>
              </w:rPr>
              <w:t xml:space="preserve">HoNOS Older persons version:</w:t>
            </w:r>
          </w:p>
          <w:p>
            <w:pPr>
              <w:spacing w:after="160"/>
            </w:pPr>
            <w:r>
              <w:rPr>
                <w:rStyle w:val="row-content-rich-text"/>
              </w:rPr>
              <w:t xml:space="preserve">Burns A, Beevor A, Lelliott P, Wing J, Blakey A, Orrell M, Mulinga J, Hadden S (1999) Health of the Nation Outcome Scales for Elderly People (HoNOS 65+). British Journal of Psychiatry, 174, 424-427.</w:t>
            </w:r>
          </w:p>
          <w:p>
            <w:pPr>
              <w:spacing w:after="160"/>
            </w:pPr>
            <w:r>
              <w:rPr>
                <w:rStyle w:val="row-content-rich-text"/>
              </w:rPr>
              <w:t xml:space="preserve">Burns A, Beevor A, Lelliott P, Wing J, Blakey A, Orrell M, Mulinga J, Hadden S (1999) Health of the Nation Outcome Scales for Elderly People (HoNOS 65+): Glossary for HoNOS 65+ score sheet. British Journal of Psychiatry, 174, 435-438.</w:t>
            </w:r>
          </w:p>
          <w:p>
            <w:pPr>
              <w:spacing w:after="160"/>
            </w:pPr>
            <w:r>
              <w:rPr>
                <w:rStyle w:val="row-content-rich-text"/>
              </w:rPr>
              <w:t xml:space="preserve">LSP:</w:t>
            </w:r>
          </w:p>
          <w:p>
            <w:pPr>
              <w:spacing w:after="160"/>
            </w:pPr>
            <w:r>
              <w:rPr>
                <w:rStyle w:val="row-content-rich-text"/>
              </w:rPr>
              <w:t xml:space="preserve">Buckingham W, Burgess P, Solomon S, Pirkis J, Eagar K (1998) Developing a Casemix Classification for Mental Health Services. Volume 2: Resource Materials. Canberra: Commonwealth Department of Health and Family Services.</w:t>
            </w:r>
          </w:p>
          <w:p>
            <w:pPr>
              <w:spacing w:after="160"/>
            </w:pPr>
            <w:r>
              <w:rPr>
                <w:rStyle w:val="row-content-rich-text"/>
              </w:rPr>
              <w:t xml:space="preserve">RUG-ADL:</w:t>
            </w:r>
          </w:p>
          <w:p>
            <w:pPr>
              <w:spacing w:after="160"/>
            </w:pPr>
            <w:r>
              <w:rPr>
                <w:rStyle w:val="row-content-rich-text"/>
              </w:rPr>
              <w:t xml:space="preserve">Fries BE, Schneider DP, et al (1994) Refining a casemix measure for nursing homes. Resource Utilisation Groups (RUG-III). Medical Care, 32, 668-685.</w:t>
            </w:r>
          </w:p>
          <w:p>
            <w:pPr>
              <w:spacing w:after="160"/>
            </w:pPr>
            <w:r>
              <w:rPr>
                <w:rStyle w:val="row-content-rich-text"/>
              </w:rPr>
              <w:t xml:space="preserve">MHI-38:</w:t>
            </w:r>
          </w:p>
          <w:p>
            <w:pPr>
              <w:spacing w:after="160"/>
            </w:pPr>
            <w:r>
              <w:rPr>
                <w:rStyle w:val="row-content-rich-text"/>
              </w:rPr>
              <w:t xml:space="preserve">Veit CT and Ware JE (1983) The structure of psychological distress and well-being in general populations. Journal of Consulting and Clinical Psychology, 51, 730-742.</w:t>
            </w:r>
          </w:p>
          <w:p>
            <w:pPr>
              <w:spacing w:after="160"/>
            </w:pPr>
            <w:r>
              <w:rPr>
                <w:rStyle w:val="row-content-rich-text"/>
              </w:rPr>
              <w:t xml:space="preserve">Davies AR, Sherbourne CD, Peterson JR and Ware JE (1998) Scoring manual: Adult health status and patient satisfaction measures used in RAND’s Health Insurance Experiment. Santa Monica. RAND Corporation.</w:t>
            </w:r>
          </w:p>
          <w:p>
            <w:pPr>
              <w:spacing w:after="160"/>
            </w:pPr>
            <w:r>
              <w:rPr>
                <w:rStyle w:val="row-content-rich-text"/>
              </w:rPr>
              <w:t xml:space="preserve">BASIS-32:</w:t>
            </w:r>
          </w:p>
          <w:p>
            <w:pPr>
              <w:spacing w:after="160"/>
            </w:pPr>
            <w:r>
              <w:rPr>
                <w:rStyle w:val="row-content-rich-text"/>
              </w:rPr>
              <w:t xml:space="preserve">Eisen SV, Dill, DL and Grob MC (1994) Reliability and validity of a brief patient-report instrument for psychiatric patient outcome evaluation. Hospital and Community Psychiatry, 45, 242-247.</w:t>
            </w:r>
          </w:p>
          <w:p>
            <w:pPr>
              <w:spacing w:after="160"/>
            </w:pPr>
            <w:r>
              <w:rPr>
                <w:rStyle w:val="row-content-rich-text"/>
              </w:rPr>
              <w:t xml:space="preserve">Eisen SV, Dickey B and Sederer LI (2000) A self-report symptom and problem scale to increase inpatients’ involvement in treatment. Psychiatric Services, 51, 349-353.</w:t>
            </w:r>
          </w:p>
          <w:p>
            <w:pPr>
              <w:spacing w:after="160"/>
            </w:pPr>
            <w:r>
              <w:rPr>
                <w:rStyle w:val="row-content-rich-text"/>
              </w:rPr>
              <w:t xml:space="preserve">K10:</w:t>
            </w:r>
          </w:p>
          <w:p>
            <w:pPr>
              <w:spacing w:after="160"/>
            </w:pPr>
            <w:r>
              <w:rPr>
                <w:rStyle w:val="row-content-rich-text"/>
              </w:rPr>
              <w:t xml:space="preserve">Kessler RC, Andrews G, Colpe LJ, Hiripi E, Mroczec DK, Normand S, Walters EE (2002) Short screening scales to monitor population prevalence and trends in non-specific psychological distress. Psychological Medicine, 32(6): 959-976.</w:t>
            </w:r>
          </w:p>
          <w:p>
            <w:pPr>
              <w:spacing w:after="160"/>
            </w:pPr>
            <w:r>
              <w:rPr>
                <w:rStyle w:val="row-content-rich-text"/>
              </w:rPr>
              <w:t xml:space="preserve">Kessler RC, Colpe LJ, Epstein JF, Groerer JC, Hiripi E, Howes MJ, Normnad SL, Manderscheid RW, Walters EE, Zasalvsky AM (2003) Screening for serious mental illness in the general population. Archives of General Psychiatry 2003: 60(2), 184-189.</w:t>
            </w:r>
          </w:p>
          <w:p>
            <w:pPr>
              <w:spacing w:after="160"/>
            </w:pPr>
            <w:r>
              <w:rPr>
                <w:rStyle w:val="row-content-rich-text"/>
              </w:rPr>
              <w:t xml:space="preserve">HoNOSCA:</w:t>
            </w:r>
          </w:p>
          <w:p>
            <w:pPr>
              <w:spacing w:after="160"/>
            </w:pPr>
            <w:r>
              <w:rPr>
                <w:rStyle w:val="row-content-rich-text"/>
              </w:rPr>
              <w:t xml:space="preserve">Gowers S, Harrington R, Whitton A, Lelliott P, Beevor A, Wing J, Jezzard R (1999a) Brief scale for measuring the outcomes of emotional and behavioural disorders in children: Health of the Nation Outcome Scales for Children and Adolescents (HoNOSCA). British Journal of Psychiatry, 174, 413-416.</w:t>
            </w:r>
          </w:p>
          <w:p>
            <w:pPr>
              <w:spacing w:after="160"/>
            </w:pPr>
            <w:r>
              <w:rPr>
                <w:rStyle w:val="row-content-rich-text"/>
              </w:rPr>
              <w:t xml:space="preserve">Gowers S, Harrington R, Whitton A, Beevor A, Lelliott P, Jezzard R, Wing J (1999b) Health of the Nation Outcome Scales for Children and Adolescents (HoNOSCA): Glossary for HoNOSCA score sheet. British Journal of Psychiatry, 174, 428-433.</w:t>
            </w:r>
          </w:p>
          <w:p>
            <w:pPr>
              <w:spacing w:after="160"/>
            </w:pPr>
            <w:r>
              <w:rPr>
                <w:rStyle w:val="row-content-rich-text"/>
              </w:rPr>
              <w:t xml:space="preserve">CGAS:</w:t>
            </w:r>
          </w:p>
          <w:p>
            <w:pPr>
              <w:spacing w:after="160"/>
            </w:pPr>
            <w:r>
              <w:rPr>
                <w:rStyle w:val="row-content-rich-text"/>
              </w:rPr>
              <w:t xml:space="preserve">Schaffer D, Gould MS, Brasic J, et al (1983) A children’s global assessment scale (CGAS). Archives of General Psychiatry, 40, 1228-1231.</w:t>
            </w:r>
          </w:p>
          <w:p>
            <w:pPr>
              <w:spacing w:after="160"/>
            </w:pPr>
            <w:r>
              <w:rPr>
                <w:rStyle w:val="row-content-rich-text"/>
              </w:rPr>
              <w:t xml:space="preserve">FIHS:</w:t>
            </w:r>
          </w:p>
          <w:p>
            <w:pPr>
              <w:spacing w:after="160"/>
            </w:pPr>
            <w:r>
              <w:rPr>
                <w:rStyle w:val="row-content-rich-text"/>
              </w:rPr>
              <w:t xml:space="preserve">Buckingham W, Burgess P, Solomon S, Pirkis J, Eagar K (1998) Developing a Casemix Classification for Mental Health Services. Volume 2: Resource Materials. Canberra: Commonwealth Department of Health and Family Services.</w:t>
            </w:r>
          </w:p>
          <w:p>
            <w:pPr>
              <w:spacing w:after="160"/>
            </w:pPr>
            <w:r>
              <w:rPr>
                <w:rStyle w:val="row-content-rich-text"/>
              </w:rPr>
              <w:t xml:space="preserve">SDQ:</w:t>
            </w:r>
          </w:p>
          <w:p>
            <w:pPr>
              <w:spacing w:after="160"/>
            </w:pPr>
            <w:r>
              <w:rPr>
                <w:rStyle w:val="row-content-rich-text"/>
              </w:rPr>
              <w:t xml:space="preserve">Goodman, R. (1997) The Strengths and Difficulties Questionnaire: A Research Note. Journal of Child Psychology and Psychiatry, 38, 581-586</w:t>
            </w:r>
          </w:p>
          <w:p>
            <w:pPr/>
            <w:r>
              <w:rPr>
                <w:rStyle w:val="row-content-rich-text"/>
              </w:rPr>
              <w:t xml:space="preserve">Goodman, R (2001) Psychometric properties of the Strengths and Difficulties Questionnaire. Journal of the American Academy of Child and Adolescent Psychiatry, 40:11, November 2001.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0f7c357e6eb42f9">
              <w:r>
                <w:rPr>
                  <w:rStyle w:val="Hyperlink"/>
                </w:rPr>
                <w:t xml:space="preserve">Collection occasion—survey version, mental health code XX[XXX]</w:t>
              </w:r>
            </w:hyperlink>
          </w:p>
          <w:p>
            <w:pPr>
              <w:pStyle w:val="registration-status"/>
              <w:spacing w:before="0" w:after="0"/>
            </w:pPr>
            <w:hyperlink w:history="true" r:id="Rccb74b7cff834225">
              <w:r>
                <w:rPr>
                  <w:rStyle w:val="Hyperlink"/>
                  <w:color w:val="244061"/>
                </w:rPr>
                <w:t xml:space="preserve">Health</w:t>
              </w:r>
            </w:hyperlink>
            <w:r>
              <w:rPr>
                <w:rStyle w:val="row-content"/>
                <w:color w:val="244061"/>
              </w:rPr>
              <w:t xml:space="preserve">, Standard 09/12/2022</w:t>
            </w:r>
          </w:p>
          <w:p>
            <w:r>
              <w:br/>
            </w:r>
          </w:p>
        </w:tc>
      </w:tr>
    </w:tbl>
    <w:p>
      <w:r>
        <w:br/>
      </w:r>
    </w:p>
    <w:sectPr>
      <w:footerReference xmlns:r="http://schemas.openxmlformats.org/officeDocument/2006/relationships" w:type="default" r:id="R5d31b26e838a49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761540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b568e603ba43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31b26e838a4914" /><Relationship Type="http://schemas.openxmlformats.org/officeDocument/2006/relationships/header" Target="/word/header1.xml" Id="R973a6412b7c04d9b" /><Relationship Type="http://schemas.openxmlformats.org/officeDocument/2006/relationships/settings" Target="/word/settings.xml" Id="Rac33ff2af5e04cba" /><Relationship Type="http://schemas.openxmlformats.org/officeDocument/2006/relationships/styles" Target="/word/styles.xml" Id="R0e04ab216e3247a3" /><Relationship Type="http://schemas.openxmlformats.org/officeDocument/2006/relationships/numbering" Target="/word/numbering.xml" Id="Rf8b602ba224d4b5e" /><Relationship Type="http://schemas.openxmlformats.org/officeDocument/2006/relationships/hyperlink" Target="https://meteor.aihw.gov.au/RegistrationAuthority/12" TargetMode="External" Id="R05fbd32145c84fcd" /><Relationship Type="http://schemas.openxmlformats.org/officeDocument/2006/relationships/hyperlink" Target="https://meteor.aihw.gov.au/content/748290" TargetMode="External" Id="R57f6562730554357" /><Relationship Type="http://schemas.openxmlformats.org/officeDocument/2006/relationships/hyperlink" Target="https://meteor.aihw.gov.au/content/748290" TargetMode="External" Id="Rf6ac6f2b76b94e2f" /><Relationship Type="http://schemas.openxmlformats.org/officeDocument/2006/relationships/hyperlink" Target="https://meteor.aihw.gov.au/content/748290" TargetMode="External" Id="Reb1015baed5541b3" /><Relationship Type="http://schemas.openxmlformats.org/officeDocument/2006/relationships/hyperlink" Target="https://meteor.aihw.gov.au/content/751910" TargetMode="External" Id="R37069426b05e45a5" /><Relationship Type="http://schemas.openxmlformats.org/officeDocument/2006/relationships/hyperlink" Target="https://meteor.aihw.gov.au/content/761863" TargetMode="External" Id="R93a27b2d617443d1" /><Relationship Type="http://schemas.openxmlformats.org/officeDocument/2006/relationships/hyperlink" Target="https://meteor.aihw.gov.au/content/737636" TargetMode="External" Id="R80a77b61091e455e" /><Relationship Type="http://schemas.openxmlformats.org/officeDocument/2006/relationships/hyperlink" Target="https://meteor.aihw.gov.au/content/748505" TargetMode="External" Id="R0715cbdf2dab4ef5" /><Relationship Type="http://schemas.openxmlformats.org/officeDocument/2006/relationships/hyperlink" Target="https://meteor.aihw.gov.au/content/748288" TargetMode="External" Id="R248a99717496411a" /><Relationship Type="http://schemas.openxmlformats.org/officeDocument/2006/relationships/hyperlink" Target="https://meteor.aihw.gov.au/content/654407" TargetMode="External" Id="Rf3c92346088443a8" /><Relationship Type="http://schemas.openxmlformats.org/officeDocument/2006/relationships/hyperlink" Target="https://meteor.aihw.gov.au/content/758487" TargetMode="External" Id="Rf6443a2a02494cd7" /><Relationship Type="http://schemas.openxmlformats.org/officeDocument/2006/relationships/hyperlink" Target="https://meteor.aihw.gov.au/content/739333" TargetMode="External" Id="R429642b88cbe4efd" /><Relationship Type="http://schemas.openxmlformats.org/officeDocument/2006/relationships/hyperlink" Target="https://meteor.aihw.gov.au/content/747085" TargetMode="External" Id="Rc9c447557a1b4dfd" /><Relationship Type="http://schemas.openxmlformats.org/officeDocument/2006/relationships/hyperlink" Target="https://meteor.aihw.gov.au/content/741161" TargetMode="External" Id="R0b369fa683584240" /><Relationship Type="http://schemas.openxmlformats.org/officeDocument/2006/relationships/hyperlink" Target="https://meteor.aihw.gov.au/content/741161" TargetMode="External" Id="R6bc004d42d0e4faa" /><Relationship Type="http://schemas.openxmlformats.org/officeDocument/2006/relationships/hyperlink" Target="https://meteor.aihw.gov.au/content/741161" TargetMode="External" Id="Rae6cd9835fc64625" /><Relationship Type="http://schemas.openxmlformats.org/officeDocument/2006/relationships/hyperlink" Target="https://meteor.aihw.gov.au/content/741161" TargetMode="External" Id="R64feafa9d2354d47" /><Relationship Type="http://schemas.openxmlformats.org/officeDocument/2006/relationships/hyperlink" Target="https://meteor.aihw.gov.au/content/741161" TargetMode="External" Id="R947c6133475d4227" /><Relationship Type="http://schemas.openxmlformats.org/officeDocument/2006/relationships/hyperlink" Target="https://meteor.aihw.gov.au/content/741161" TargetMode="External" Id="Rc48d7003af3e46dd" /><Relationship Type="http://schemas.openxmlformats.org/officeDocument/2006/relationships/hyperlink" Target="https://meteor.aihw.gov.au/content/761561" TargetMode="External" Id="Rb0f7c357e6eb42f9" /><Relationship Type="http://schemas.openxmlformats.org/officeDocument/2006/relationships/hyperlink" Target="https://meteor.aihw.gov.au/RegistrationAuthority/12" TargetMode="External" Id="Rccb74b7cff834225" /></Relationships>
</file>

<file path=word/_rels/header1.xml.rels>&#65279;<?xml version="1.0" encoding="utf-8"?><Relationships xmlns="http://schemas.openxmlformats.org/package/2006/relationships"><Relationship Type="http://schemas.openxmlformats.org/officeDocument/2006/relationships/image" Target="/media/image.png" Id="Rbdb568e603ba43bb" /></Relationships>
</file>