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5f1a15896a4ac4"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5a-Proportion of patients with low back pain who have documented discussions in their medical record about both self-management strategies and staying active by continuing usual activities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5a-Proportion of patients with low back pain who have documented discussions in their medical record about both self-management strategies and staying active by continuing usual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5a-Proportion of patients with low back pain who have documented discussions in their medical record about both 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8929e5fe84f24">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low back pain who have documented discussions in their medical record about both 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8039a326ea4ed2">
              <w:r>
                <w:rPr>
                  <w:rStyle w:val="Hyperlink"/>
                </w:rPr>
                <w:t xml:space="preserve">Clinical care standard indicators: Low back pain </w:t>
              </w:r>
            </w:hyperlink>
          </w:p>
          <w:p>
            <w:pPr>
              <w:pStyle w:val="registration-status"/>
              <w:spacing w:before="0" w:after="0"/>
            </w:pPr>
            <w:hyperlink w:history="true" r:id="Rf0e4f46fa79a4317">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Self-management strategies will vary for each patient depending on their history, pain severity and confidence to undertake self- management.  Self-management strategies may include:</w:t>
            </w:r>
          </w:p>
          <w:p>
            <w:pPr>
              <w:pStyle w:val="ListParagraph"/>
              <w:numPr>
                <w:ilvl w:val="0"/>
                <w:numId w:val="2"/>
              </w:numPr>
            </w:pPr>
            <w:r>
              <w:rPr>
                <w:rStyle w:val="row-content-rich-text"/>
              </w:rPr>
              <w:t xml:space="preserve">Active management strategies such as physical activity, staying social, healthy sleep habits and the application of heat</w:t>
            </w:r>
          </w:p>
          <w:p>
            <w:pPr>
              <w:pStyle w:val="ListParagraph"/>
              <w:numPr>
                <w:ilvl w:val="0"/>
                <w:numId w:val="2"/>
              </w:numPr>
            </w:pPr>
            <w:r>
              <w:rPr>
                <w:rStyle w:val="row-content-rich-text"/>
              </w:rPr>
              <w:t xml:space="preserve">Gradually increasing activity levels by using pacing to prevent overexertion followed by inactivity</w:t>
            </w:r>
          </w:p>
          <w:p>
            <w:pPr>
              <w:pStyle w:val="ListParagraph"/>
              <w:numPr>
                <w:ilvl w:val="0"/>
                <w:numId w:val="2"/>
              </w:numPr>
            </w:pPr>
            <w:r>
              <w:rPr>
                <w:rStyle w:val="row-content-rich-text"/>
              </w:rPr>
              <w:t xml:space="preserve">Supporting the patient to set SMART (specific, measurable, achievable, realistic and time-bound) goals that are important to them.</w:t>
            </w:r>
          </w:p>
          <w:p>
            <w:pPr>
              <w:spacing w:after="160"/>
            </w:pPr>
            <w:r>
              <w:rPr>
                <w:rStyle w:val="row-content-rich-text"/>
              </w:rPr>
              <w:t xml:space="preserve">Usual activities include work, caring responsibilities and household duties. Modifications and support may be required.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with documentation in their medical record confirming they were provided advice on </w:t>
            </w:r>
            <w:r>
              <w:rPr>
                <w:rStyle w:val="row-content-rich-text"/>
                <w:b/>
              </w:rPr>
              <w:t xml:space="preserve">both </w:t>
            </w:r>
            <w:r>
              <w:rPr>
                <w:rStyle w:val="row-content-rich-text"/>
              </w:rPr>
              <w:t xml:space="preserve">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low back pain.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72a079672261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759562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e6db4f1de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0796722614197" /><Relationship Type="http://schemas.openxmlformats.org/officeDocument/2006/relationships/header" Target="/word/header1.xml" Id="Rde08c460ad104bf4" /><Relationship Type="http://schemas.openxmlformats.org/officeDocument/2006/relationships/settings" Target="/word/settings.xml" Id="R7982dacc54db4eca" /><Relationship Type="http://schemas.openxmlformats.org/officeDocument/2006/relationships/styles" Target="/word/styles.xml" Id="R637c9936c97841e0" /><Relationship Type="http://schemas.openxmlformats.org/officeDocument/2006/relationships/numbering" Target="/word/numbering.xml" Id="R31f011ad4bc44bf5" /><Relationship Type="http://schemas.openxmlformats.org/officeDocument/2006/relationships/hyperlink" Target="https://meteor.aihw.gov.au/RegistrationAuthority/18" TargetMode="External" Id="R7e08929e5fe84f24" /><Relationship Type="http://schemas.openxmlformats.org/officeDocument/2006/relationships/hyperlink" Target="https://meteor.aihw.gov.au/content/755790" TargetMode="External" Id="R268039a326ea4ed2" /><Relationship Type="http://schemas.openxmlformats.org/officeDocument/2006/relationships/hyperlink" Target="https://meteor.aihw.gov.au/RegistrationAuthority/18" TargetMode="External" Id="Rf0e4f46fa79a4317" /></Relationships>
</file>

<file path=word/_rels/header1.xml.rels>&#65279;<?xml version="1.0" encoding="utf-8"?><Relationships xmlns="http://schemas.openxmlformats.org/package/2006/relationships"><Relationship Type="http://schemas.openxmlformats.org/officeDocument/2006/relationships/image" Target="/media/image.png" Id="R153e6db4f1de4e90" /></Relationships>
</file>