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3a51e387949cb" /></Relationships>
</file>

<file path=word/document.xml><?xml version="1.0" encoding="utf-8"?>
<w:document xmlns:r="http://schemas.openxmlformats.org/officeDocument/2006/relationships" xmlns:w="http://schemas.openxmlformats.org/wordprocessingml/2006/main">
  <w:body>
    <w:p>
      <w:pPr>
        <w:pStyle w:val="Title"/>
      </w:pPr>
      <w:r>
        <w:t>Person—disability type, Tertiary Collection of Student Information disability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type, Tertiary Collection of Student Information disability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e37e0d22a49c9">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cf8186a1777a46a7">
              <w:r>
                <w:rPr>
                  <w:rStyle w:val="Hyperlink"/>
                  <w:b/>
                </w:rPr>
                <w:t xml:space="preserve">disability</w:t>
              </w:r>
            </w:hyperlink>
            <w:r>
              <w:rPr>
                <w:rStyle w:val="row-content-rich-text"/>
              </w:rPr>
              <w:t xml:space="preserve"> a person has,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6903d18cb24149">
              <w:r>
                <w:rPr>
                  <w:rStyle w:val="Hyperlink"/>
                </w:rPr>
                <w:t xml:space="preserve">Person—disability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26569a629842fa">
              <w:r>
                <w:rPr>
                  <w:rStyle w:val="Hyperlink"/>
                </w:rPr>
                <w:t xml:space="preserve">Tertiary Collection of Student Information disability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Hard of hearing/deaf/Deaf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Physical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Intellectual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Specific learning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Low vision/Blind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Neurological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Disability</w:t>
            </w:r>
            <w:r>
              <w:rPr>
                <w:rStyle w:val="row-content-rich-text"/>
              </w:rPr>
              <w:t xml:space="preserve"> in this context does not include short‑term disabling health conditions such as a fractured leg, influenza, or corrected physical conditions such as impaired vision mitigated by wearing glasses or lenses.</w:t>
            </w:r>
          </w:p>
          <w:p>
            <w:pPr>
              <w:spacing w:after="160"/>
            </w:pPr>
            <w:r>
              <w:rPr>
                <w:rStyle w:val="row-content-rich-text"/>
                <w:b/>
              </w:rPr>
              <w:t xml:space="preserve">CODE 11 - Hard of hearing/deaf/Deaf</w:t>
            </w:r>
            <w:r>
              <w:rPr>
                <w:rStyle w:val="row-content-rich-text"/>
              </w:rPr>
              <w:t xml:space="preserve"> </w:t>
            </w:r>
          </w:p>
          <w:p>
            <w:pPr>
              <w:spacing w:after="160"/>
            </w:pPr>
            <w:r>
              <w:rPr>
                <w:rStyle w:val="row-content-rich-text"/>
              </w:rPr>
              <w:t xml:space="preserve">Refers to a person who has an acquired mild, moderate or even a severe or profound hearing loss after learning to speak, communicates orally and maximises residual hearing with the assistance of amplification. A person who is deaf has a severe or profound hearing loss from, at, or near birth and mainly relies upon vision to communicate, whether through lip reading, gestures, cued speech, finger spelling and/or sign language.</w:t>
            </w:r>
          </w:p>
          <w:p>
            <w:pPr>
              <w:spacing w:after="160"/>
            </w:pPr>
            <w:r>
              <w:rPr>
                <w:rStyle w:val="row-content-rich-text"/>
                <w:b/>
              </w:rPr>
              <w:t xml:space="preserve">CODE 12 - Physical disability</w:t>
            </w:r>
            <w:r>
              <w:rPr>
                <w:rStyle w:val="row-content-rich-text"/>
              </w:rPr>
              <w:t xml:space="preserve"> </w:t>
            </w:r>
          </w:p>
          <w:p>
            <w:pPr>
              <w:spacing w:after="160"/>
            </w:pPr>
            <w:r>
              <w:rPr>
                <w:rStyle w:val="row-content-rich-text"/>
              </w:rPr>
              <w:t xml:space="preserve">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muscular dystrophy, paraplegia, quadriplegia or post‑polio syndrome.</w:t>
            </w:r>
          </w:p>
          <w:p>
            <w:pPr>
              <w:spacing w:after="160"/>
            </w:pPr>
            <w:r>
              <w:rPr>
                <w:rStyle w:val="row-content-rich-text"/>
                <w:b/>
              </w:rPr>
              <w:t xml:space="preserve">CODE 13 - Intellectual disability</w:t>
            </w:r>
          </w:p>
          <w:p>
            <w:pPr>
              <w:spacing w:after="160"/>
            </w:pPr>
            <w:r>
              <w:rPr>
                <w:rStyle w:val="row-content-rich-text"/>
              </w:rPr>
              <w:t xml:space="preserve">Refers to low general intellectual functioning and difficulties in adaptive behaviour, both of which conditions were manifested before the person reached the age of 18. It may result from infection before or after birth, trauma during birth, or illness.</w:t>
            </w:r>
          </w:p>
          <w:p>
            <w:pPr>
              <w:spacing w:after="160"/>
            </w:pPr>
            <w:r>
              <w:rPr>
                <w:rStyle w:val="row-content-rich-text"/>
                <w:b/>
              </w:rPr>
              <w:t xml:space="preserve">CODE 14 - Specific learning disability (SLD)</w:t>
            </w:r>
            <w:r>
              <w:rPr>
                <w:rStyle w:val="row-content-rich-text"/>
              </w:rPr>
              <w:t xml:space="preserve"> </w:t>
            </w:r>
          </w:p>
          <w:p>
            <w:pPr>
              <w:spacing w:after="160"/>
            </w:pPr>
            <w:r>
              <w:rPr>
                <w:rStyle w:val="row-content-rich-text"/>
              </w:rPr>
              <w:t xml:space="preserve">Refers to conditions of a neurological origin that cause significant difficulties in perceiving and/or processing auditory, visual or spatial information, or any combination of this information. They include disorders that impair functions such as reading (dyslexia), writing (dysgraphia) and mathematical calculation (dyscalculia).</w:t>
            </w:r>
          </w:p>
          <w:p>
            <w:pPr>
              <w:spacing w:after="160"/>
            </w:pPr>
            <w:r>
              <w:rPr>
                <w:rStyle w:val="row-content-rich-text"/>
                <w:b/>
              </w:rPr>
              <w:t xml:space="preserve">CODE 15 - Mental health condition</w:t>
            </w:r>
            <w:r>
              <w:rPr>
                <w:rStyle w:val="row-content-rich-text"/>
              </w:rPr>
              <w:t xml:space="preserve"> </w:t>
            </w:r>
          </w:p>
          <w:p>
            <w:pPr>
              <w:spacing w:after="160"/>
            </w:pPr>
            <w:r>
              <w:rPr>
                <w:rStyle w:val="row-content-rich-text"/>
              </w:rPr>
              <w:t xml:space="preserve">Refers to a cluster of psychological and physiological symptoms that cause a person suffering or distress and which represent a departure from a person's usual pattern and level of functioning.</w:t>
            </w:r>
          </w:p>
          <w:p>
            <w:pPr>
              <w:spacing w:after="160"/>
            </w:pPr>
            <w:r>
              <w:rPr>
                <w:rStyle w:val="row-content-rich-text"/>
                <w:b/>
              </w:rPr>
              <w:t xml:space="preserve">CODE 16 - Acquired brain injury (ABI)</w:t>
            </w:r>
            <w:r>
              <w:rPr>
                <w:rStyle w:val="row-content-rich-text"/>
              </w:rPr>
              <w:t xml:space="preserve"> </w:t>
            </w:r>
          </w:p>
          <w:p>
            <w:pPr>
              <w:spacing w:after="160"/>
            </w:pPr>
            <w:r>
              <w:rPr>
                <w:rStyle w:val="row-content-rich-text"/>
              </w:rPr>
              <w:t xml:space="preserve">Refers to an injury to the brain that results in deterioration in cognitive, physical, emotional or independent functioning. ABI can occur as a result of trauma, hypoxia, infection, tumour, accidents, violence, substance abuse, degenerative neurological diseases or stroke. ABI's may be either temporary or permanent and cause partial or total disability or psychosocial difficulties.</w:t>
            </w:r>
          </w:p>
          <w:p>
            <w:pPr>
              <w:spacing w:after="160"/>
            </w:pPr>
            <w:r>
              <w:rPr>
                <w:rStyle w:val="row-content-rich-text"/>
                <w:b/>
              </w:rPr>
              <w:t xml:space="preserve">CODE 17 - Low vision/Blind</w:t>
            </w:r>
            <w:r>
              <w:rPr>
                <w:rStyle w:val="row-content-rich-text"/>
              </w:rPr>
              <w:t xml:space="preserve"> </w:t>
            </w:r>
          </w:p>
          <w:p>
            <w:pPr>
              <w:spacing w:after="160"/>
            </w:pPr>
            <w:r>
              <w:rPr>
                <w:rStyle w:val="row-content-rich-text"/>
              </w:rPr>
              <w:t xml:space="preserve">Refers to partial loss of sight causing difficulties in seeing, up to and including blindness. This may be present from birth or acquired as a result of disease, illness or injury.</w:t>
            </w:r>
          </w:p>
          <w:p>
            <w:pPr>
              <w:spacing w:after="160"/>
            </w:pPr>
            <w:r>
              <w:rPr>
                <w:rStyle w:val="row-content-rich-text"/>
                <w:b/>
              </w:rPr>
              <w:t xml:space="preserve">CODE 18 - Medical condition</w:t>
            </w:r>
          </w:p>
          <w:p>
            <w:pPr>
              <w:spacing w:after="160"/>
            </w:pPr>
            <w:r>
              <w:rPr>
                <w:rStyle w:val="row-content-rich-text"/>
              </w:rPr>
              <w:t xml:space="preserve">Refers to a temporary or permanent condition that may be hereditary, genetically acquired or of unknown origin. The condition may not be obvious or readily identifiable, yet may be mildly or severely debilitating and result in fluctuating levels of wellness and sickness, and/or periods of hospitalisation; for example, AIDS, cancer, chronic fatigue syndrome, Crohn's disease, cystic fibrosis, asthma or diabetes.</w:t>
            </w:r>
          </w:p>
          <w:p>
            <w:pPr>
              <w:spacing w:after="160"/>
            </w:pPr>
            <w:r>
              <w:rPr>
                <w:rStyle w:val="row-content-rich-text"/>
                <w:b/>
              </w:rPr>
              <w:t xml:space="preserve">CODE 20 - Neurological condition</w:t>
            </w:r>
            <w:r>
              <w:rPr>
                <w:rStyle w:val="row-content-rich-text"/>
              </w:rPr>
              <w:t xml:space="preserve"> </w:t>
            </w:r>
          </w:p>
          <w:p>
            <w:pPr>
              <w:spacing w:after="160"/>
            </w:pPr>
            <w:r>
              <w:rPr>
                <w:rStyle w:val="row-content-rich-text"/>
              </w:rPr>
              <w:t xml:space="preserve">Refers to a condition that affects the usual function of the central and peripheral nervous system, including Autism Spectrum Disorder, epilepsy, Alzheimer's disease, multiple sclerosis, Parkinson's disease, brain tumours or ADHD</w:t>
            </w:r>
          </w:p>
          <w:p>
            <w:pPr>
              <w:spacing w:after="160"/>
            </w:pPr>
            <w:r>
              <w:rPr>
                <w:rStyle w:val="row-content-rich-text"/>
                <w:b/>
              </w:rPr>
              <w:t xml:space="preserve">CODE 19 - Other disability</w:t>
            </w:r>
          </w:p>
          <w:p>
            <w:pPr/>
            <w:r>
              <w:rPr>
                <w:rStyle w:val="row-content-rich-text"/>
              </w:rPr>
              <w:t xml:space="preserve">Refers to a disability or long‑term condition which is not suitably described by one or several disability types in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2021, disability was collected using a different format as per retired Tertiary Collection of Student Information (TCSI) data element 386. Refer to:</w:t>
            </w:r>
          </w:p>
          <w:p>
            <w:pPr>
              <w:spacing w:after="160"/>
            </w:pPr>
            <w:r>
              <w:rPr>
                <w:rStyle w:val="row-content-rich-text"/>
              </w:rPr>
              <w:t xml:space="preserve">Australian Government 2021. Tertiary collection of student information: Disability, Canberra. Viewed 10 August 2022. </w:t>
            </w:r>
            <w:hyperlink w:history="true" r:id="R33e2e04851fc47ef">
              <w:r>
                <w:rPr>
                  <w:rStyle w:val="Hyperlink"/>
                </w:rPr>
                <w:t xml:space="preserve">www.tcsisupport.gov.au/element/386</w:t>
              </w:r>
            </w:hyperlink>
            <w:r>
              <w:rPr>
                <w:rStyle w:val="row-content-rich-text"/>
              </w:rPr>
              <w:t xml:space="preserve"> </w:t>
            </w:r>
          </w:p>
          <w:p>
            <w:pPr>
              <w:spacing w:after="160"/>
            </w:pPr>
            <w:r>
              <w:rPr>
                <w:rStyle w:val="row-content-rich-text"/>
              </w:rPr>
              <w:t xml:space="preserve">For the history of changes to this data element prior to 2020 refer to:</w:t>
            </w:r>
          </w:p>
          <w:p>
            <w:pPr>
              <w:spacing w:after="160"/>
            </w:pPr>
            <w:r>
              <w:rPr>
                <w:rStyle w:val="row-content-rich-text"/>
              </w:rPr>
              <w:t xml:space="preserve">Australian Government 2020. Higher Education student data collection: Element 386 - Disability, Canberra. Viewed 13 September 2022. </w:t>
            </w:r>
            <w:hyperlink w:history="true" r:id="Rca36bf8ccde24912">
              <w:r>
                <w:rPr>
                  <w:rStyle w:val="Hyperlink"/>
                </w:rPr>
                <w:t xml:space="preserve"> https://heimshelp.dese.gov.au/supporting_information/386</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Disability code, Canberra. Viewed 10 August 2022. </w:t>
            </w:r>
            <w:hyperlink w:history="true" r:id="R7e3c96b5d9734882">
              <w:r>
                <w:rPr>
                  <w:rStyle w:val="Hyperlink"/>
                </w:rPr>
                <w:t xml:space="preserve">www.tcsisupport.gov.au/element/615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25269a63904abc">
              <w:r>
                <w:rPr>
                  <w:rStyle w:val="Hyperlink"/>
                </w:rPr>
                <w:t xml:space="preserve">Initial Teacher Education (ITE) data cluster</w:t>
              </w:r>
            </w:hyperlink>
          </w:p>
          <w:p>
            <w:pPr>
              <w:spacing w:before="0" w:after="0"/>
            </w:pPr>
            <w:r>
              <w:rPr>
                <w:rStyle w:val="row-content"/>
                <w:color w:val="244061"/>
              </w:rPr>
              <w:t xml:space="preserve">       </w:t>
            </w:r>
            <w:hyperlink w:history="true" r:id="R76a02b0dc1e84bb7">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Conditional obligation: </w:t>
            </w:r>
          </w:p>
          <w:p>
            <w:r>
              <w:rPr>
                <w:rStyle w:val="row-content"/>
              </w:rPr>
              <w:t xml:space="preserve">Conditional on a student/person indicating that they have a disability.</w:t>
            </w:r>
          </w:p>
          <w:p>
            <w:r>
              <w:br/>
            </w:r>
            <w:r>
              <w:rPr>
                <w:rStyle w:val="row-content"/>
                <w:b/>
                <w:i/>
              </w:rPr>
              <w:t xml:space="preserve">DSS specific information: </w:t>
            </w:r>
          </w:p>
          <w:p>
            <w:r>
              <w:rPr>
                <w:rStyle w:val="row-content"/>
              </w:rPr>
              <w:t xml:space="preserve">Prior to 2021, an alternative disability indicator code was used. For more information refer to expired code e386:</w:t>
            </w:r>
          </w:p>
          <w:p>
            <w:r>
              <w:rPr>
                <w:rStyle w:val="row-content"/>
              </w:rPr>
              <w:t xml:space="preserve">Australian Government 2022. Tertiary collection of student information: Disability. </w:t>
            </w:r>
            <w:r>
              <w:rPr>
                <w:rStyle w:val="row-content"/>
              </w:rPr>
              <w:t xml:space="preserve">Canberra. Viewed 12 September 2022. </w:t>
            </w:r>
            <w:hyperlink w:history="true" r:id="R20329dc624d0403c">
              <w:r>
                <w:rPr>
                  <w:rStyle w:val="Hyperlink"/>
                </w:rPr>
                <w:t xml:space="preserve">www​​​.tcsisupport​​​.gov​​​.au​​​/element​​​/386</w:t>
              </w:r>
            </w:hyperlink>
          </w:p>
          <w:p>
            <w:r>
              <w:br/>
            </w:r>
            <w:r>
              <w:br/>
            </w:r>
          </w:p>
        </w:tc>
      </w:tr>
    </w:tbl>
    <w:p/>
    <w:tbl>
      <w:tblPr>
        <w:tblStyle w:val="TableGrid"/>
        <w:tblW w:w="0" w:type="auto"/>
      </w:tblPr>
    </w:tbl>
    <w:p>
      <w:r>
        <w:br/>
      </w:r>
    </w:p>
    <w:sectPr>
      <w:footerReference xmlns:r="http://schemas.openxmlformats.org/officeDocument/2006/relationships" w:type="default" r:id="Rf97d26c89363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759472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16e2c3b23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d26c893634507" /><Relationship Type="http://schemas.openxmlformats.org/officeDocument/2006/relationships/header" Target="/word/header1.xml" Id="R046b17149fec4ee9" /><Relationship Type="http://schemas.openxmlformats.org/officeDocument/2006/relationships/settings" Target="/word/settings.xml" Id="R93cbd86bcbbf4c57" /><Relationship Type="http://schemas.openxmlformats.org/officeDocument/2006/relationships/styles" Target="/word/styles.xml" Id="Ra187230deb48456d" /><Relationship Type="http://schemas.openxmlformats.org/officeDocument/2006/relationships/hyperlink" Target="https://meteor.aihw.gov.au/RegistrationAuthority/23" TargetMode="External" Id="R437e37e0d22a49c9" /><Relationship Type="http://schemas.openxmlformats.org/officeDocument/2006/relationships/hyperlink" Target="https://meteor.aihw.gov.au/content/695181" TargetMode="External" Id="Rcf8186a1777a46a7" /><Relationship Type="http://schemas.openxmlformats.org/officeDocument/2006/relationships/hyperlink" Target="https://meteor.aihw.gov.au/content/759480" TargetMode="External" Id="Rb96903d18cb24149" /><Relationship Type="http://schemas.openxmlformats.org/officeDocument/2006/relationships/hyperlink" Target="https://meteor.aihw.gov.au/content/759470" TargetMode="External" Id="Rcd26569a629842fa" /><Relationship Type="http://schemas.openxmlformats.org/officeDocument/2006/relationships/hyperlink" Target="https://www.tcsisupport.gov.au/element/386" TargetMode="External" Id="R33e2e04851fc47ef" /><Relationship Type="http://schemas.openxmlformats.org/officeDocument/2006/relationships/hyperlink" Target="https://heimshelp.dese.gov.au/supporting_information/386" TargetMode="External" Id="Rca36bf8ccde24912" /><Relationship Type="http://schemas.openxmlformats.org/officeDocument/2006/relationships/hyperlink" Target="https://www.tcsisupport.gov.au/element/615" TargetMode="External" Id="R7e3c96b5d9734882" /><Relationship Type="http://schemas.openxmlformats.org/officeDocument/2006/relationships/hyperlink" Target="https://meteor.aihw.gov.au/content/758462" TargetMode="External" Id="Rd425269a63904abc" /><Relationship Type="http://schemas.openxmlformats.org/officeDocument/2006/relationships/hyperlink" Target="https://meteor.aihw.gov.au/RegistrationAuthority/23" TargetMode="External" Id="R76a02b0dc1e84bb7" /><Relationship Type="http://schemas.openxmlformats.org/officeDocument/2006/relationships/hyperlink" Target="https://www.tcsisupport.gov.au/element/386" TargetMode="External" Id="R20329dc624d0403c" /></Relationships>
</file>

<file path=word/_rels/header1.xml.rels>&#65279;<?xml version="1.0" encoding="utf-8"?><Relationships xmlns="http://schemas.openxmlformats.org/package/2006/relationships"><Relationship Type="http://schemas.openxmlformats.org/officeDocument/2006/relationships/image" Target="/media/image.png" Id="R5e316e2c3b2346d9" /></Relationships>
</file>