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19d2820bf6414f" /></Relationships>
</file>

<file path=word/document.xml><?xml version="1.0" encoding="utf-8"?>
<w:document xmlns:r="http://schemas.openxmlformats.org/officeDocument/2006/relationships" xmlns:w="http://schemas.openxmlformats.org/wordprocessingml/2006/main">
  <w:body>
    <w:p>
      <w:pPr>
        <w:pStyle w:val="Title"/>
      </w:pPr>
      <w:r>
        <w:t>Juvenile Justice NMDS 2016–18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2016–18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90333183a4614">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National Minimum Data Set (JJ NMDS) 2016–18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not supervised or case managed by a youth justice agency (for example, young people supervised by an adult correctional agency).</w:t>
            </w:r>
          </w:p>
          <w:p>
            <w:pPr>
              <w:spacing w:after="160"/>
            </w:pPr>
            <w:r>
              <w:rPr>
                <w:rStyle w:val="row-content-rich-text"/>
              </w:rPr>
              <w:t xml:space="preserve">The figure below summarises a range of possible pathways through the youth justice system. The stages that require a young person to be supervised by youth justice agencies and are to be included in the JJ NMDS are shaded. These stages are the focus of the Australian Institute of Health and Welfare (AIHW)'s reporting series on youth justice supervision.</w:t>
            </w:r>
          </w:p>
          <w:tbl>
            <w:tblPr>
              <w:tblStyle w:val="TableGrid"/>
              <w:tblW w:w="5000" w:type="pct"/>
              <w:tblLayout w:type="autofit"/>
            </w:tblPr>
            <w:tblGrid>
              <w:gridCol/>
            </w:tblGrid>
            <w:tr>
              <w:trPr/>
              <w:tc>
                <w:tcPr>
                  <w:tcW w:w="5000" w:type="pct"/>
                  <w:vAlign w:val="top"/>
                </w:tcPr>
                <w:p>
                  <w:hyperlink w:history="true" r:id="Rd48252697db64dba">
                    <w:r>
                      <w:drawing>
                        <wp:inline xmlns:wp="http://schemas.openxmlformats.org/drawingml/2006/wordprocessingDrawing" distT="0" distB="0" distL="0" distR="0">
                          <wp:extent cx="4754880" cy="4502548"/>
                          <wp:effectExtent l="19050" t="0" r="0" b="0"/>
                          <wp:docPr id="2" name="Picture 2" descr="">
                            <a:hlinkClick xmlns:a="http://schemas.openxmlformats.org/drawingml/2006/main" r:id="Rd48252697db64dba" tooltip="An overview of the youth justice system in Australia providing an indicative summary of possible pathways through the sys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65c42a1a2aa744fb"/>
                                  <a:srcRect/>
                                  <a:stretch>
                                    <a:fillRect/>
                                  </a:stretch>
                                </pic:blipFill>
                                <pic:spPr bwMode="auto">
                                  <a:xfrm>
                                    <a:off x="0" y="0"/>
                                    <a:ext cx="5743575" cy="5438775"/>
                                  </a:xfrm>
                                  <a:prstGeom prst="rect">
                                    <a:avLst/>
                                  </a:prstGeom>
                                </pic:spPr>
                              </pic:pic>
                            </a:graphicData>
                          </a:graphic>
                        </wp:inline>
                      </w:drawing>
                    </w:r>
                  </w:hyperlink>
                </w:p>
                <w:p>
                  <w:r>
                    <w:br/>
                  </w:r>
                  <w:r>
                    <w:rPr>
                      <w:rStyle w:val="row-content-rich-text"/>
                      <w:b/>
                    </w:rPr>
                    <w:t xml:space="preserve">Figure: Overview of the youth justice system in Australia</w:t>
                  </w:r>
                </w:p>
                <w:p>
                  <w:pPr>
                    <w:spacing w:after="160"/>
                  </w:pPr>
                  <w:r>
                    <w:rPr>
                      <w:rStyle w:val="row-content-rich-text"/>
                    </w:rPr>
                    <w:t xml:space="preserve">Notes:</w:t>
                  </w:r>
                </w:p>
                <w:p>
                  <w:pPr>
                    <w:pStyle w:val="ListParagraph"/>
                    <w:numPr>
                      <w:ilvl w:val="0"/>
                      <w:numId w:val="4"/>
                    </w:numPr>
                  </w:pPr>
                  <w:r>
                    <w:rPr>
                      <w:rStyle w:val="row-content-rich-text"/>
                    </w:rPr>
                    <w:t xml:space="preserve">Shaded objects indicate youth justice agency involvement. These areas of the youth justice system are within the scope of the JJ NMDS, and are the focus of the AIHW's report series on youth justice supervision.</w:t>
                  </w:r>
                </w:p>
                <w:p>
                  <w:pPr>
                    <w:pStyle w:val="ListParagraph"/>
                    <w:numPr>
                      <w:ilvl w:val="0"/>
                      <w:numId w:val="4"/>
                    </w:numPr>
                  </w:pPr>
                  <w:r>
                    <w:rPr>
                      <w:rStyle w:val="row-content-rich-text"/>
                    </w:rPr>
                    <w:t xml:space="preserve">This diagram is an indicative summary and is not intended to reflect all possible pathways.</w:t>
                  </w:r>
                </w:p>
                <w:p>
                  <w:pPr/>
                  <w:r>
                    <w:rPr>
                      <w:rStyle w:val="row-content-rich-text"/>
                    </w:rPr>
                    <w:t xml:space="preserve">Source: AIHW 2013. Youth justice. AIHW, Canberra. Viewed 4 September 2013, </w:t>
                  </w:r>
                  <w:hyperlink w:history="true" r:id="R19d08503ac5c4dc3">
                    <w:r>
                      <w:rPr>
                        <w:rStyle w:val="Hyperlink"/>
                      </w:rPr>
                      <w:t xml:space="preserve">http://www.aihw.gov.au/youth-justice/</w:t>
                    </w:r>
                  </w:hyperlink>
                  <w:r>
                    <w:rPr>
                      <w:rStyle w:val="row-content-rich-text"/>
                    </w:rPr>
                    <w:t xml:space="preserve">.</w:t>
                  </w:r>
                </w:p>
              </w:tc>
            </w:tr>
          </w:tbl>
          <w:p>
            <w:r>
              <w:rPr>
                <w:b/>
              </w:rPr>
              <w:t xml:space="preserve">JJ NMDS files (data element clusters)</w:t>
            </w:r>
          </w:p>
          <w:p>
            <w:r>
              <w:t xml:space="preserve">The JJ NMDS 2016–18 contains four files: </w:t>
            </w:r>
          </w:p>
          <w:p>
            <w:r>
              <w:rPr>
                <w:u w:val="single"/>
              </w:rPr>
              <w:t xml:space="preserve">Juvenile Justice Client file cluster</w:t>
            </w:r>
          </w:p>
          <w:p>
            <w:r>
              <w:t xml:space="preserve">The client file cluster contains demographic information on young people under youth justice supervision.</w:t>
            </w:r>
          </w:p>
          <w:p>
            <w:r>
              <w:rPr>
                <w:u w:val="single"/>
              </w:rPr>
              <w:t xml:space="preserve">Juvenile Justice Order file cluster</w:t>
            </w:r>
          </w:p>
          <w:p>
            <w:r>
              <w:t xml:space="preserve">The order file cluster contains information about the supervised orders handed down by courts and parole boards to young people under youth justice supervision.</w:t>
            </w:r>
            <w:r>
              <w:br/>
            </w:r>
            <w:r>
              <w:br/>
            </w:r>
            <w:r>
              <w:rPr>
                <w:u w:val="single"/>
              </w:rPr>
              <w:t xml:space="preserve">Juvenile Justice Detention file cluster</w:t>
            </w:r>
          </w:p>
          <w:p>
            <w:r>
              <w:t xml:space="preserve">The detention file cluster contains information about the periods of detention of young people under youth justice supervision. A detention period relates to the period of time a young person is detained in a youth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r>
              <w:rPr>
                <w:u w:val="single"/>
              </w:rPr>
              <w:t xml:space="preserve">Juvenile Justice Order types file cluster</w:t>
            </w:r>
          </w:p>
          <w:p>
            <w:r>
              <w:t xml:space="preserve">The order types file cluster links the orders available in jurisdictions with the national order categories.</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November 2012 the Australasian Juvenile Justice Administrators agreed to retain their name (and the name of the collection), but to change the preferred terminology within the collection from ‘juvenile justice’ to ‘youth justice’.</w:t>
            </w:r>
          </w:p>
          <w:p>
            <w:pPr>
              <w:spacing w:after="160"/>
            </w:pPr>
            <w:r>
              <w:rPr>
                <w:rStyle w:val="row-content-rich-text"/>
                <w:b/>
              </w:rPr>
              <w:t xml:space="preserve">Juvenile Justice NMDS redevelopment</w:t>
            </w:r>
          </w:p>
          <w:p>
            <w:pPr>
              <w:spacing w:after="160"/>
            </w:pPr>
            <w:r>
              <w:rPr>
                <w:rStyle w:val="row-content-rich-text"/>
              </w:rPr>
              <w:t xml:space="preserve">Previous versions of the JJ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JJ NMDS by KPMG in 2008 and 2009, the JJ NMDS was redeveloped and the episode file was replaced with an order file and a detention file and an order type file was added to the NMDS. The client file and the centre file were not altered. A number of data items were added to the JJ NMDS and existing data item names were updated to match the data item names used in METeOR.</w:t>
            </w:r>
          </w:p>
          <w:p>
            <w:pPr>
              <w:spacing w:after="160"/>
            </w:pPr>
            <w:r>
              <w:rPr>
                <w:rStyle w:val="row-content-rich-text"/>
              </w:rPr>
              <w:t xml:space="preserve">The centre file was removed from JJ NMDS in 2011.</w:t>
            </w:r>
          </w:p>
          <w:p>
            <w:pPr>
              <w:spacing w:after="160"/>
            </w:pPr>
            <w:r>
              <w:rPr>
                <w:rStyle w:val="row-content-rich-text"/>
              </w:rPr>
              <w:t xml:space="preserve">The four files collected for the JJ NMDS have been replicated in METeOR as DSS clusters listed as follows:</w:t>
            </w:r>
          </w:p>
          <w:p>
            <w:pPr>
              <w:pStyle w:val="ListParagraph"/>
              <w:numPr>
                <w:ilvl w:val="0"/>
                <w:numId w:val="5"/>
              </w:numPr>
            </w:pPr>
            <w:r>
              <w:rPr>
                <w:rStyle w:val="row-content-rich-text"/>
              </w:rPr>
              <w:t xml:space="preserve">Juvenile Justice Client file cluster</w:t>
            </w:r>
          </w:p>
          <w:p>
            <w:pPr>
              <w:pStyle w:val="ListParagraph"/>
              <w:numPr>
                <w:ilvl w:val="0"/>
                <w:numId w:val="5"/>
              </w:numPr>
            </w:pPr>
            <w:r>
              <w:rPr>
                <w:rStyle w:val="row-content-rich-text"/>
              </w:rPr>
              <w:t xml:space="preserve">Juvenile Justice Order file cluster</w:t>
            </w:r>
          </w:p>
          <w:p>
            <w:pPr>
              <w:pStyle w:val="ListParagraph"/>
              <w:numPr>
                <w:ilvl w:val="0"/>
                <w:numId w:val="5"/>
              </w:numPr>
            </w:pPr>
            <w:r>
              <w:rPr>
                <w:rStyle w:val="row-content-rich-text"/>
              </w:rPr>
              <w:t xml:space="preserve">Juvenile Justice Detention file cluster</w:t>
            </w:r>
          </w:p>
          <w:p>
            <w:pPr>
              <w:pStyle w:val="ListParagraph"/>
              <w:numPr>
                <w:ilvl w:val="0"/>
                <w:numId w:val="5"/>
              </w:numPr>
            </w:pPr>
            <w:r>
              <w:rPr>
                <w:rStyle w:val="row-content-rich-text"/>
              </w:rPr>
              <w:t xml:space="preserve">Juvenile Justice Order types file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2017. Juvenile Justice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313820ac6d4f09">
              <w:r>
                <w:rPr>
                  <w:rStyle w:val="Hyperlink"/>
                </w:rPr>
                <w:t xml:space="preserve">Juvenile Justice NMDS 2015–16</w:t>
              </w:r>
            </w:hyperlink>
          </w:p>
          <w:p>
            <w:pPr>
              <w:spacing w:before="0" w:after="0"/>
            </w:pPr>
            <w:r>
              <w:rPr>
                <w:rStyle w:val="row-content"/>
                <w:color w:val="244061"/>
              </w:rPr>
              <w:t xml:space="preserve">       </w:t>
            </w:r>
            <w:hyperlink w:history="true" r:id="Rc56d1da6ce0642b2">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79a35e21781841f9">
              <w:r>
                <w:rPr>
                  <w:rStyle w:val="Hyperlink"/>
                </w:rPr>
                <w:t xml:space="preserve">Youth Justice NMDS 2018–20</w:t>
              </w:r>
            </w:hyperlink>
          </w:p>
          <w:p>
            <w:pPr>
              <w:spacing w:before="0" w:after="0"/>
            </w:pPr>
            <w:r>
              <w:rPr>
                <w:rStyle w:val="row-content"/>
                <w:color w:val="244061"/>
              </w:rPr>
              <w:t xml:space="preserve">       </w:t>
            </w:r>
            <w:hyperlink w:history="true" r:id="Rb5080fd99fd74b94">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e7ec5ce9e84dd1">
              <w:r>
                <w:rPr>
                  <w:rStyle w:val="Hyperlink"/>
                </w:rPr>
                <w:t xml:space="preserve">Juvenile Justice DSS 2016–18</w:t>
              </w:r>
            </w:hyperlink>
          </w:p>
          <w:p>
            <w:pPr>
              <w:spacing w:before="0" w:after="0"/>
            </w:pPr>
            <w:r>
              <w:rPr>
                <w:rStyle w:val="row-content"/>
                <w:color w:val="244061"/>
              </w:rPr>
              <w:t xml:space="preserve">       </w:t>
            </w:r>
            <w:hyperlink w:history="true" r:id="R17caacb02a524f4c">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866be1360c444df">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5f9d6a6fd1f499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2c5c2252dd499a">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14868344aa04b53">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7d4dbc8d14a454f">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86fca20f557488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9c00e05c31246c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c94a503aa51465e">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‘Contacts’ are those that would count as a supervised order (i.e. would be within scope for the JJ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0a4f5be5982f4514">
                    <w:r>
                      <w:rPr>
                        <w:rStyle w:val="Hyperlink"/>
                      </w:rPr>
                      <w:t xml:space="preserve">order start date</w:t>
                    </w:r>
                  </w:hyperlink>
                  <w:r>
                    <w:t xml:space="preserve"> in the JJ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bacefacb3594124">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bdd4d29fbcc445f">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c56ffe1f694b7b">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6"/>
                    </w:numPr>
                  </w:pPr>
                  <w:r>
                    <w:t xml:space="preserve">If the </w:t>
                  </w:r>
                  <w:hyperlink w:history="true" r:id="R792094a5da5e4813">
                    <w:r>
                      <w:rPr>
                        <w:rStyle w:val="Hyperlink"/>
                      </w:rPr>
                      <w:t xml:space="preserve">order identifier</w:t>
                    </w:r>
                  </w:hyperlink>
                  <w:r>
                    <w:t xml:space="preserve"> matches the order identifier of another record and the </w:t>
                  </w:r>
                  <w:hyperlink w:history="true" r:id="R85b515fe44974e01">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6"/>
                    </w:numPr>
                  </w:pPr>
                  <w:r>
                    <w:t xml:space="preserve">The order identifier (</w:t>
                  </w:r>
                  <w:hyperlink w:history="true" r:id="Rf7c1d335fcc94058">
                    <w:r>
                      <w:rPr>
                        <w:rStyle w:val="Hyperlink"/>
                      </w:rPr>
                      <w:t xml:space="preserve">charge file</w:t>
                    </w:r>
                  </w:hyperlink>
                  <w:r>
                    <w:t xml:space="preserve">) must be in the order file.</w:t>
                  </w:r>
                </w:p>
                <w:p>
                  <w:pPr>
                    <w:pStyle w:val="ListParagraph"/>
                    <w:numPr>
                      <w:ilvl w:val="0"/>
                      <w:numId w:val="6"/>
                    </w:numPr>
                  </w:pPr>
                  <w:r>
                    <w:t xml:space="preserve">If the </w:t>
                  </w:r>
                  <w:hyperlink w:history="true" r:id="R1e080b58b94e44be">
                    <w:r>
                      <w:rPr>
                        <w:rStyle w:val="Hyperlink"/>
                      </w:rPr>
                      <w:t xml:space="preserve">order type</w:t>
                    </w:r>
                  </w:hyperlink>
                  <w:r>
                    <w:t xml:space="preserve"> (</w:t>
                  </w:r>
                  <w:hyperlink w:history="true" r:id="Rb88cf47823b444f0">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6"/>
                    </w:numPr>
                  </w:pPr>
                  <w:r>
                    <w:t xml:space="preserve">The order identifier (</w:t>
                  </w:r>
                  <w:hyperlink w:history="true" r:id="R908d817ef52b4af8">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d8ae9aee5c64499">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7"/>
                    </w:numPr>
                  </w:pPr>
                  <w:r>
                    <w:t xml:space="preserve">The </w:t>
                  </w:r>
                  <w:hyperlink w:history="true" r:id="R8490371ef4284e3c">
                    <w:r>
                      <w:rPr>
                        <w:rStyle w:val="Hyperlink"/>
                      </w:rPr>
                      <w:t xml:space="preserve">order start date</w:t>
                    </w:r>
                  </w:hyperlink>
                  <w:r>
                    <w:t xml:space="preserve"> must be on or before the order end date.</w:t>
                  </w:r>
                </w:p>
                <w:p>
                  <w:pPr>
                    <w:pStyle w:val="ListParagraph"/>
                    <w:numPr>
                      <w:ilvl w:val="0"/>
                      <w:numId w:val="7"/>
                    </w:numPr>
                  </w:pPr>
                  <w:r>
                    <w:t xml:space="preserve">The young person must be aged at least 10 years (based on date of birth) at the order start date.</w:t>
                  </w:r>
                </w:p>
                <w:p>
                  <w:pPr>
                    <w:pStyle w:val="ListParagraph"/>
                    <w:numPr>
                      <w:ilvl w:val="0"/>
                      <w:numId w:val="7"/>
                    </w:numPr>
                  </w:pPr>
                  <w:r>
                    <w:t xml:space="preserve">The young person should be aged 10-25 years at the order start date.</w:t>
                  </w:r>
                </w:p>
                <w:p>
                  <w:pPr>
                    <w:pStyle w:val="ListParagraph"/>
                    <w:numPr>
                      <w:ilvl w:val="0"/>
                      <w:numId w:val="7"/>
                    </w:numPr>
                  </w:pPr>
                  <w:r>
                    <w:t xml:space="preserve">The </w:t>
                  </w:r>
                  <w:hyperlink w:history="true" r:id="R8ed9828fb3a04a90">
                    <w:r>
                      <w:rPr>
                        <w:rStyle w:val="Hyperlink"/>
                      </w:rPr>
                      <w:t xml:space="preserve">order start date</w:t>
                    </w:r>
                  </w:hyperlink>
                  <w:r>
                    <w:t xml:space="preserve"> must be on or before the end of the reporting period.</w:t>
                  </w:r>
                </w:p>
                <w:p>
                  <w:pPr>
                    <w:pStyle w:val="ListParagraph"/>
                    <w:numPr>
                      <w:ilvl w:val="0"/>
                      <w:numId w:val="7"/>
                    </w:numPr>
                  </w:pPr>
                  <w:r>
                    <w:t xml:space="preserve">If the order end reason for a previous order was 3 (death) there must not be any subsequent orders.</w:t>
                  </w:r>
                </w:p>
                <w:p>
                  <w:pPr>
                    <w:pStyle w:val="ListParagraph"/>
                    <w:numPr>
                      <w:ilvl w:val="0"/>
                      <w:numId w:val="7"/>
                    </w:numPr>
                  </w:pPr>
                  <w:r>
                    <w:t xml:space="preserve">If the </w:t>
                  </w:r>
                  <w:hyperlink w:history="true" r:id="Ra0cabb940ca14a91">
                    <w:r>
                      <w:rPr>
                        <w:rStyle w:val="Hyperlink"/>
                      </w:rPr>
                      <w:t xml:space="preserve">order identifier</w:t>
                    </w:r>
                  </w:hyperlink>
                  <w:r>
                    <w:t xml:space="preserve"> matches the order identifier of another record and the </w:t>
                  </w:r>
                  <w:hyperlink w:history="true" r:id="Ra1d340bd1b924e7e">
                    <w:r>
                      <w:rPr>
                        <w:rStyle w:val="Hyperlink"/>
                      </w:rPr>
                      <w:t xml:space="preserve">person identifiers</w:t>
                    </w:r>
                  </w:hyperlink>
                  <w:r>
                    <w:t xml:space="preserve"> are the same, the </w:t>
                  </w:r>
                  <w:hyperlink w:history="true" r:id="Ra72c2419ec144b80">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86b8cd4b54641b7">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8"/>
                    </w:numPr>
                  </w:pPr>
                  <w:r>
                    <w:t xml:space="preserve">The order end date must be on or after the start of the reporting period.</w:t>
                  </w:r>
                </w:p>
                <w:p>
                  <w:pPr>
                    <w:pStyle w:val="ListParagraph"/>
                    <w:numPr>
                      <w:ilvl w:val="0"/>
                      <w:numId w:val="8"/>
                    </w:numPr>
                  </w:pPr>
                  <w:r>
                    <w:t xml:space="preserve">The </w:t>
                  </w:r>
                  <w:hyperlink w:history="true" r:id="R6abcafe57643462c">
                    <w:r>
                      <w:rPr>
                        <w:rStyle w:val="Hyperlink"/>
                      </w:rPr>
                      <w:t xml:space="preserve">order start date</w:t>
                    </w:r>
                  </w:hyperlink>
                  <w:r>
                    <w:t xml:space="preserve"> must be on or before the order end date.</w:t>
                  </w:r>
                </w:p>
                <w:p>
                  <w:pPr>
                    <w:pStyle w:val="ListParagraph"/>
                    <w:numPr>
                      <w:ilvl w:val="0"/>
                      <w:numId w:val="8"/>
                    </w:numPr>
                  </w:pPr>
                  <w:r>
                    <w:t xml:space="preserve">If the order end date is on or before the end of the reporting period, the </w:t>
                  </w:r>
                  <w:hyperlink w:history="true" r:id="R2705a6b676c5410e">
                    <w:r>
                      <w:rPr>
                        <w:rStyle w:val="Hyperlink"/>
                      </w:rPr>
                      <w:t xml:space="preserve">order end reason</w:t>
                    </w:r>
                  </w:hyperlink>
                  <w:r>
                    <w:t xml:space="preserve"> must be a reason other than 0 (not applicable).</w:t>
                  </w:r>
                </w:p>
                <w:p>
                  <w:pPr>
                    <w:pStyle w:val="ListParagraph"/>
                    <w:numPr>
                      <w:ilvl w:val="0"/>
                      <w:numId w:val="8"/>
                    </w:numPr>
                  </w:pPr>
                  <w:r>
                    <w:t xml:space="preserve">If the </w:t>
                  </w:r>
                  <w:hyperlink w:history="true" r:id="Rbc1f40da2d514e86">
                    <w:r>
                      <w:rPr>
                        <w:rStyle w:val="Hyperlink"/>
                      </w:rPr>
                      <w:t xml:space="preserve">order identifier</w:t>
                    </w:r>
                  </w:hyperlink>
                  <w:r>
                    <w:t xml:space="preserve"> matches the order identifier of another record and the </w:t>
                  </w:r>
                  <w:hyperlink w:history="true" r:id="R91e4d4bc08c14651">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c27080738294529">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df1d0079be84d8f">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4efbbce904c4e93">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a3efdfe087d4242">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db87dcd2a5014a3f">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e4a4de59e2f4f26">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10"/>
                    </w:numPr>
                  </w:pPr>
                  <w:r>
                    <w:t xml:space="preserve">the last known home address is unknown</w:t>
                  </w:r>
                </w:p>
                <w:p>
                  <w:pPr>
                    <w:pStyle w:val="ListParagraph"/>
                    <w:numPr>
                      <w:ilvl w:val="0"/>
                      <w:numId w:val="10"/>
                    </w:numPr>
                  </w:pPr>
                  <w:r>
                    <w:t xml:space="preserve">the last known home address is outside Australia</w:t>
                  </w:r>
                </w:p>
                <w:p>
                  <w:pPr>
                    <w:pStyle w:val="ListParagraph"/>
                    <w:numPr>
                      <w:ilvl w:val="0"/>
                      <w:numId w:val="10"/>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72eefac87704e30">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82901d99b55404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a4db855101d4b5a">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40137c2e0d8423c">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47771087f4e4bf0">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97bca048dc94b35">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1"/>
                    </w:numPr>
                  </w:pPr>
                  <w:r>
                    <w:t xml:space="preserve">If the </w:t>
                  </w:r>
                  <w:hyperlink w:history="true" r:id="Rce95595e2654403b">
                    <w:r>
                      <w:rPr>
                        <w:rStyle w:val="Hyperlink"/>
                      </w:rPr>
                      <w:t xml:space="preserve">detention end reason</w:t>
                    </w:r>
                  </w:hyperlink>
                  <w:r>
                    <w:t xml:space="preserve"> is CODE 5 (release on parole), the </w:t>
                  </w:r>
                  <w:hyperlink w:history="true" r:id="R7b9b4373e7074d31">
                    <w:r>
                      <w:rPr>
                        <w:rStyle w:val="Hyperlink"/>
                      </w:rPr>
                      <w:t xml:space="preserve">detention type</w:t>
                    </w:r>
                  </w:hyperlink>
                  <w:r>
                    <w:t xml:space="preserve"> must be sentenced (CODE 3).</w:t>
                  </w:r>
                </w:p>
                <w:p>
                  <w:pPr>
                    <w:pStyle w:val="ListParagraph"/>
                    <w:numPr>
                      <w:ilvl w:val="0"/>
                      <w:numId w:val="11"/>
                    </w:numPr>
                  </w:pPr>
                  <w:r>
                    <w:t xml:space="preserve">If the detention end reason is released on bail, the detention type must be unsentenced (CODE 1, CODE 2).</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reason for a previous detention period was CODE 2 (death) there must not be any subsequent detention periods.</w:t>
                  </w:r>
                </w:p>
                <w:p>
                  <w:pPr>
                    <w:pStyle w:val="ListParagraph"/>
                    <w:numPr>
                      <w:ilvl w:val="0"/>
                      <w:numId w:val="11"/>
                    </w:numPr>
                  </w:pPr>
                  <w:r>
                    <w:t xml:space="preserve">If the detention end reason is CODE 2 (death) there must be a corresponding order period with an order end reason of CODE 3 (death).</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date is after the end of the reporting period, the detention end reason must be CODE 0 (not applicable).</w:t>
                  </w:r>
                </w:p>
                <w:p>
                  <w:pPr>
                    <w:pStyle w:val="ListParagraph"/>
                    <w:numPr>
                      <w:ilvl w:val="0"/>
                      <w:numId w:val="11"/>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b776a3c6b184175">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26a09d94146c425f">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4474a24568d4243">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2"/>
                    </w:numPr>
                  </w:pPr>
                  <w:r>
                    <w:t xml:space="preserve">the last known home address is unknown</w:t>
                  </w:r>
                </w:p>
                <w:p>
                  <w:pPr>
                    <w:pStyle w:val="ListParagraph"/>
                    <w:numPr>
                      <w:ilvl w:val="0"/>
                      <w:numId w:val="12"/>
                    </w:numPr>
                  </w:pPr>
                  <w:r>
                    <w:t xml:space="preserve">the last known home address is outside Australia</w:t>
                  </w:r>
                </w:p>
                <w:p>
                  <w:pPr>
                    <w:pStyle w:val="ListParagraph"/>
                    <w:numPr>
                      <w:ilvl w:val="0"/>
                      <w:numId w:val="12"/>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5d7d56bbb1f4acd">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bab586204064601">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22fce57d42a4837">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5b952abc6ad4669">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422c83ae47d413b">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14a1e0081564407">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44de2c038784b1b">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8aca476215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17fb29a8e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aca4762154d3d" /><Relationship Type="http://schemas.openxmlformats.org/officeDocument/2006/relationships/header" Target="/word/header1.xml" Id="R7275f8294e364cbd" /><Relationship Type="http://schemas.openxmlformats.org/officeDocument/2006/relationships/settings" Target="/word/settings.xml" Id="R557a029d40ea4625" /><Relationship Type="http://schemas.openxmlformats.org/officeDocument/2006/relationships/styles" Target="/word/styles.xml" Id="Rb21079e27b51461b" /><Relationship Type="http://schemas.openxmlformats.org/officeDocument/2006/relationships/hyperlink" Target="https://meteor.aihw.gov.au/RegistrationAuthority/4" TargetMode="External" Id="R78b90333183a4614" /><Relationship Type="http://schemas.openxmlformats.org/officeDocument/2006/relationships/numbering" Target="/word/numbering.xml" Id="R79940faac9b04686" /><Relationship Type="http://schemas.openxmlformats.org/officeDocument/2006/relationships/hyperlink" Target="https://meteor.aihw.gov.au/content/538611" TargetMode="External" Id="Rd48252697db64dba" /><Relationship Type="http://schemas.openxmlformats.org/officeDocument/2006/relationships/image" Target="/media/image2.png" Id="R65c42a1a2aa744fb" /><Relationship Type="http://schemas.openxmlformats.org/officeDocument/2006/relationships/hyperlink" Target="http://www.aihw.gov.au/youth-justice/" TargetMode="External" Id="R19d08503ac5c4dc3" /><Relationship Type="http://schemas.openxmlformats.org/officeDocument/2006/relationships/hyperlink" Target="https://meteor.aihw.gov.au/content/680159" TargetMode="External" Id="R9e313820ac6d4f09" /><Relationship Type="http://schemas.openxmlformats.org/officeDocument/2006/relationships/hyperlink" Target="https://meteor.aihw.gov.au/RegistrationAuthority/4" TargetMode="External" Id="Rc56d1da6ce0642b2" /><Relationship Type="http://schemas.openxmlformats.org/officeDocument/2006/relationships/hyperlink" Target="https://meteor.aihw.gov.au/content/744068" TargetMode="External" Id="R79a35e21781841f9" /><Relationship Type="http://schemas.openxmlformats.org/officeDocument/2006/relationships/hyperlink" Target="https://meteor.aihw.gov.au/RegistrationAuthority/4" TargetMode="External" Id="Rb5080fd99fd74b94" /><Relationship Type="http://schemas.openxmlformats.org/officeDocument/2006/relationships/hyperlink" Target="https://meteor.aihw.gov.au/content/676794" TargetMode="External" Id="R61e7ec5ce9e84dd1" /><Relationship Type="http://schemas.openxmlformats.org/officeDocument/2006/relationships/hyperlink" Target="https://meteor.aihw.gov.au/RegistrationAuthority/4" TargetMode="External" Id="R17caacb02a524f4c" /><Relationship Type="http://schemas.openxmlformats.org/officeDocument/2006/relationships/hyperlink" Target="https://meteor.aihw.gov.au/content/513199" TargetMode="External" Id="R4866be1360c444df" /><Relationship Type="http://schemas.openxmlformats.org/officeDocument/2006/relationships/hyperlink" Target="https://meteor.aihw.gov.au/content/290046" TargetMode="External" Id="R45f9d6a6fd1f4993" /><Relationship Type="http://schemas.openxmlformats.org/officeDocument/2006/relationships/hyperlink" Target="https://meteor.aihw.gov.au/content/349481" TargetMode="External" Id="Rc82c5c2252dd499a" /><Relationship Type="http://schemas.openxmlformats.org/officeDocument/2006/relationships/hyperlink" Target="https://meteor.aihw.gov.au/content/349483" TargetMode="External" Id="R314868344aa04b53" /><Relationship Type="http://schemas.openxmlformats.org/officeDocument/2006/relationships/hyperlink" Target="https://meteor.aihw.gov.au/content/287007" TargetMode="External" Id="R57d4dbc8d14a454f" /><Relationship Type="http://schemas.openxmlformats.org/officeDocument/2006/relationships/hyperlink" Target="https://meteor.aihw.gov.au/content/287316" TargetMode="External" Id="Rd86fca20f5574885" /><Relationship Type="http://schemas.openxmlformats.org/officeDocument/2006/relationships/hyperlink" Target="https://meteor.aihw.gov.au/content/602543" TargetMode="External" Id="R49c00e05c31246c4" /><Relationship Type="http://schemas.openxmlformats.org/officeDocument/2006/relationships/hyperlink" Target="https://meteor.aihw.gov.au/content/692122" TargetMode="External" Id="R9c94a503aa51465e" /><Relationship Type="http://schemas.openxmlformats.org/officeDocument/2006/relationships/hyperlink" Target="https://meteor.aihw.gov.au/content/536550" TargetMode="External" Id="R0a4f5be5982f4514" /><Relationship Type="http://schemas.openxmlformats.org/officeDocument/2006/relationships/hyperlink" Target="https://meteor.aihw.gov.au/content/680151" TargetMode="External" Id="R1bacefacb3594124" /><Relationship Type="http://schemas.openxmlformats.org/officeDocument/2006/relationships/hyperlink" Target="https://meteor.aihw.gov.au/content/290046" TargetMode="External" Id="R8bdd4d29fbcc445f" /><Relationship Type="http://schemas.openxmlformats.org/officeDocument/2006/relationships/hyperlink" Target="https://meteor.aihw.gov.au/content/539609" TargetMode="External" Id="R61c56ffe1f694b7b" /><Relationship Type="http://schemas.openxmlformats.org/officeDocument/2006/relationships/hyperlink" Target="https://meteor.aihw.gov.au/content/539609" TargetMode="External" Id="R792094a5da5e4813" /><Relationship Type="http://schemas.openxmlformats.org/officeDocument/2006/relationships/hyperlink" Target="https://meteor.aihw.gov.au/content/290046" TargetMode="External" Id="R85b515fe44974e01" /><Relationship Type="http://schemas.openxmlformats.org/officeDocument/2006/relationships/hyperlink" Target="https://meteor.aihw.gov.au/content/512241" TargetMode="External" Id="Rf7c1d335fcc94058" /><Relationship Type="http://schemas.openxmlformats.org/officeDocument/2006/relationships/hyperlink" Target="https://meteor.aihw.gov.au/content/680146" TargetMode="External" Id="R1e080b58b94e44be" /><Relationship Type="http://schemas.openxmlformats.org/officeDocument/2006/relationships/hyperlink" Target="https://meteor.aihw.gov.au/content/680151" TargetMode="External" Id="Rb88cf47823b444f0" /><Relationship Type="http://schemas.openxmlformats.org/officeDocument/2006/relationships/hyperlink" Target="https://meteor.aihw.gov.au/content/512246" TargetMode="External" Id="R908d817ef52b4af8" /><Relationship Type="http://schemas.openxmlformats.org/officeDocument/2006/relationships/hyperlink" Target="https://meteor.aihw.gov.au/content/536550" TargetMode="External" Id="Rcd8ae9aee5c64499" /><Relationship Type="http://schemas.openxmlformats.org/officeDocument/2006/relationships/hyperlink" Target="https://meteor.aihw.gov.au/content/536550" TargetMode="External" Id="R8490371ef4284e3c" /><Relationship Type="http://schemas.openxmlformats.org/officeDocument/2006/relationships/hyperlink" Target="https://meteor.aihw.gov.au/content/536550" TargetMode="External" Id="R8ed9828fb3a04a90" /><Relationship Type="http://schemas.openxmlformats.org/officeDocument/2006/relationships/hyperlink" Target="https://meteor.aihw.gov.au/content/539609" TargetMode="External" Id="Ra0cabb940ca14a91" /><Relationship Type="http://schemas.openxmlformats.org/officeDocument/2006/relationships/hyperlink" Target="https://meteor.aihw.gov.au/content/290046" TargetMode="External" Id="Ra1d340bd1b924e7e" /><Relationship Type="http://schemas.openxmlformats.org/officeDocument/2006/relationships/hyperlink" Target="https://meteor.aihw.gov.au/content/536554" TargetMode="External" Id="Ra72c2419ec144b80" /><Relationship Type="http://schemas.openxmlformats.org/officeDocument/2006/relationships/hyperlink" Target="https://meteor.aihw.gov.au/content/536554" TargetMode="External" Id="Re86b8cd4b54641b7" /><Relationship Type="http://schemas.openxmlformats.org/officeDocument/2006/relationships/hyperlink" Target="https://meteor.aihw.gov.au/content/536550" TargetMode="External" Id="R6abcafe57643462c" /><Relationship Type="http://schemas.openxmlformats.org/officeDocument/2006/relationships/hyperlink" Target="https://meteor.aihw.gov.au/content/743998" TargetMode="External" Id="R2705a6b676c5410e" /><Relationship Type="http://schemas.openxmlformats.org/officeDocument/2006/relationships/hyperlink" Target="https://meteor.aihw.gov.au/content/528502" TargetMode="External" Id="Rbc1f40da2d514e86" /><Relationship Type="http://schemas.openxmlformats.org/officeDocument/2006/relationships/hyperlink" Target="https://meteor.aihw.gov.au/content/290046" TargetMode="External" Id="R91e4d4bc08c14651" /><Relationship Type="http://schemas.openxmlformats.org/officeDocument/2006/relationships/hyperlink" Target="https://meteor.aihw.gov.au/content/680146" TargetMode="External" Id="Rdc27080738294529" /><Relationship Type="http://schemas.openxmlformats.org/officeDocument/2006/relationships/hyperlink" Target="https://meteor.aihw.gov.au/content/743998" TargetMode="External" Id="Rbdf1d0079be84d8f" /><Relationship Type="http://schemas.openxmlformats.org/officeDocument/2006/relationships/hyperlink" Target="https://meteor.aihw.gov.au/content/429889" TargetMode="External" Id="Rd4efbbce904c4e93" /><Relationship Type="http://schemas.openxmlformats.org/officeDocument/2006/relationships/hyperlink" Target="https://meteor.aihw.gov.au/content/611398" TargetMode="External" Id="Rda3efdfe087d4242" /><Relationship Type="http://schemas.openxmlformats.org/officeDocument/2006/relationships/hyperlink" Target="https://auspost.com.au/business/marketing-and-communications/access-data-and-insights/address-data/postcode-data" TargetMode="External" Id="Rdb87dcd2a5014a3f" /><Relationship Type="http://schemas.openxmlformats.org/officeDocument/2006/relationships/hyperlink" Target="https://meteor.aihw.gov.au/content/720078" TargetMode="External" Id="R7e4a4de59e2f4f26" /><Relationship Type="http://schemas.openxmlformats.org/officeDocument/2006/relationships/hyperlink" Target="https://meteor.aihw.gov.au/content/466172" TargetMode="External" Id="R572eefac87704e30" /><Relationship Type="http://schemas.openxmlformats.org/officeDocument/2006/relationships/hyperlink" Target="https://meteor.aihw.gov.au/content/290046" TargetMode="External" Id="R382901d99b554047" /><Relationship Type="http://schemas.openxmlformats.org/officeDocument/2006/relationships/hyperlink" Target="https://meteor.aihw.gov.au/content/508301" TargetMode="External" Id="R3a4db855101d4b5a" /><Relationship Type="http://schemas.openxmlformats.org/officeDocument/2006/relationships/hyperlink" Target="https://meteor.aihw.gov.au/content/508125" TargetMode="External" Id="R540137c2e0d8423c" /><Relationship Type="http://schemas.openxmlformats.org/officeDocument/2006/relationships/hyperlink" Target="https://meteor.aihw.gov.au/content/537181" TargetMode="External" Id="R647771087f4e4bf0" /><Relationship Type="http://schemas.openxmlformats.org/officeDocument/2006/relationships/hyperlink" Target="https://meteor.aihw.gov.au/content/537444" TargetMode="External" Id="R097bca048dc94b35" /><Relationship Type="http://schemas.openxmlformats.org/officeDocument/2006/relationships/hyperlink" Target="https://meteor.aihw.gov.au/content/537444" TargetMode="External" Id="Rce95595e2654403b" /><Relationship Type="http://schemas.openxmlformats.org/officeDocument/2006/relationships/hyperlink" Target="https://meteor.aihw.gov.au/content/537181" TargetMode="External" Id="R7b9b4373e7074d31" /><Relationship Type="http://schemas.openxmlformats.org/officeDocument/2006/relationships/hyperlink" Target="https://meteor.aihw.gov.au/content/429889" TargetMode="External" Id="Rcb776a3c6b184175" /><Relationship Type="http://schemas.openxmlformats.org/officeDocument/2006/relationships/hyperlink" Target="https://auspost.com.au/business/marketing-and-communications/access-data-and-insights/address-data/postcode-data" TargetMode="External" Id="R26a09d94146c425f" /><Relationship Type="http://schemas.openxmlformats.org/officeDocument/2006/relationships/hyperlink" Target="https://meteor.aihw.gov.au/content/429894" TargetMode="External" Id="Rd4474a24568d4243" /><Relationship Type="http://schemas.openxmlformats.org/officeDocument/2006/relationships/hyperlink" Target="https://meteor.aihw.gov.au/content/720078" TargetMode="External" Id="R55d7d56bbb1f4acd" /><Relationship Type="http://schemas.openxmlformats.org/officeDocument/2006/relationships/hyperlink" Target="https://meteor.aihw.gov.au/content/453823" TargetMode="External" Id="R9bab586204064601" /><Relationship Type="http://schemas.openxmlformats.org/officeDocument/2006/relationships/hyperlink" Target="https://meteor.aihw.gov.au/content/680156" TargetMode="External" Id="R122fce57d42a4837" /><Relationship Type="http://schemas.openxmlformats.org/officeDocument/2006/relationships/hyperlink" Target="https://meteor.aihw.gov.au/content/528502" TargetMode="External" Id="R35b952abc6ad4669" /><Relationship Type="http://schemas.openxmlformats.org/officeDocument/2006/relationships/hyperlink" Target="https://meteor.aihw.gov.au/content/537672" TargetMode="External" Id="Re422c83ae47d413b" /><Relationship Type="http://schemas.openxmlformats.org/officeDocument/2006/relationships/hyperlink" Target="https://meteor.aihw.gov.au/content/680146" TargetMode="External" Id="R614a1e0081564407" /><Relationship Type="http://schemas.openxmlformats.org/officeDocument/2006/relationships/hyperlink" Target="https://meteor.aihw.gov.au/content/387420" TargetMode="External" Id="R144de2c038784b1b" /></Relationships>
</file>

<file path=word/_rels/header1.xml.rels>&#65279;<?xml version="1.0" encoding="utf-8"?><Relationships xmlns="http://schemas.openxmlformats.org/package/2006/relationships"><Relationship Type="http://schemas.openxmlformats.org/officeDocument/2006/relationships/image" Target="/media/image.png" Id="Rcdd17fb29a8e40a1" /></Relationships>
</file>