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9d5bfa5c34513" /></Relationships>
</file>

<file path=word/document.xml><?xml version="1.0" encoding="utf-8"?>
<w:document xmlns:r="http://schemas.openxmlformats.org/officeDocument/2006/relationships" xmlns:w="http://schemas.openxmlformats.org/wordprocessingml/2006/main">
  <w:body>
    <w:p>
      <w:pPr>
        <w:pStyle w:val="Title"/>
      </w:pPr>
      <w:r>
        <w:t>Initial Teacher Education (ITE)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Teacher Education (ITE) data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8ffbee6d64b4339">
                    <w:r>
                      <w:rPr>
                        <w:rStyle w:val="Hyperlink"/>
                      </w:rPr>
                      <w:t xml:space="preserve">Reference year</w:t>
                    </w:r>
                  </w:hyperlink>
                </w:p>
              </w:tc>
              <w:tc>
                <w:tcPr>
                  <w:vAlign w:val="top"/>
                </w:tcPr>
                <w:p>
                  <w:r>
                    <w:t xml:space="preserve">759618</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2</w:t>
                  </w:r>
                </w:p>
              </w:tc>
              <w:tc>
                <w:tcPr>
                  <w:tcMar/>
                  <w:vAlign w:val="top"/>
                </w:tcPr>
                <w:p>
                  <w:hyperlink w:history="true" r:id="R4d93a60b7032460c">
                    <w:r>
                      <w:rPr>
                        <w:rStyle w:val="Hyperlink"/>
                      </w:rPr>
                      <w:t xml:space="preserve">Suburb/town/locality name</w:t>
                    </w:r>
                  </w:hyperlink>
                </w:p>
              </w:tc>
              <w:tc>
                <w:tcPr>
                  <w:vAlign w:val="top"/>
                </w:tcPr>
                <w:p>
                  <w:r>
                    <w:t xml:space="preserve">761502</w:t>
                  </w:r>
                </w:p>
              </w:tc>
              <w:tc>
                <w:tcPr>
                  <w:vAlign w:val="top"/>
                </w:tcPr>
                <w:p>
                  <w:r>
                    <w:t xml:space="preserve">String
[48]</w:t>
                  </w:r>
                </w:p>
              </w:tc>
              <w:tc>
                <w:tcPr>
                  <w:vAlign w:val="top"/>
                </w:tcPr>
                <w:p>
                  <w:r>
                    <w:t xml:space="preserve">X[X(47)]</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7a11e9794e2b4dae">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4</w:t>
                  </w:r>
                </w:p>
              </w:tc>
              <w:tc>
                <w:tcPr>
                  <w:tcMar/>
                  <w:vAlign w:val="top"/>
                </w:tcPr>
                <w:p>
                  <w:hyperlink w:history="true" r:id="R199eb196b0ce4a4b">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7d4fedaa571246fa">
                    <w:r>
                      <w:rPr>
                        <w:rStyle w:val="Hyperlink"/>
                      </w:rPr>
                      <w:t xml:space="preserve">Date of birth</w:t>
                    </w:r>
                  </w:hyperlink>
                </w:p>
              </w:tc>
              <w:tc>
                <w:tcPr>
                  <w:vAlign w:val="top"/>
                </w:tcPr>
                <w:p>
                  <w:r>
                    <w:t xml:space="preserve">759462</w:t>
                  </w:r>
                </w:p>
              </w:tc>
              <w:tc>
                <w:tcPr>
                  <w:vAlign w:val="top"/>
                </w:tcPr>
                <w:p>
                  <w:r>
                    <w:t xml:space="preserve">Date/Time
[10]</w:t>
                  </w:r>
                </w:p>
              </w:tc>
              <w:tc>
                <w:tcPr>
                  <w:vAlign w:val="top"/>
                </w:tcPr>
                <w:p>
                  <w:r>
                    <w:t xml:space="preserve">YYYY-MM-DD</w:t>
                  </w:r>
                  <w:r>
                    <w:br/>
                  </w:r>
                </w:p>
                <w:p>
                  <w:r>
                    <w:t xml:space="preserve">The day and month of a particular year, expressed in ISO 8601 format.</w:t>
                  </w:r>
                </w:p>
              </w:tc>
            </w:tr>
            <w:tr>
              <w:trPr/>
              <w:tc>
                <w:tcPr>
                  <w:tcMar>
                    <w:right w:w="29" w:type="dxa"/>
                  </w:tcMar>
                  <w:vAlign w:val="top"/>
                </w:tcPr>
                <w:p>
                  <w:pPr>
                    <w:keepNext/>
                    <w:jc w:val="center"/>
                  </w:pPr>
                  <w:r>
                    <w:t xml:space="preserve">6</w:t>
                  </w:r>
                </w:p>
              </w:tc>
              <w:tc>
                <w:tcPr>
                  <w:tcMar/>
                  <w:vAlign w:val="top"/>
                </w:tcPr>
                <w:p>
                  <w:hyperlink w:history="true" r:id="R659bd80a81c14398">
                    <w:r>
                      <w:rPr>
                        <w:rStyle w:val="Hyperlink"/>
                      </w:rPr>
                      <w:t xml:space="preserve">Tertiary Collection of Student Information (TCSI) Gender </w:t>
                    </w:r>
                  </w:hyperlink>
                </w:p>
              </w:tc>
              <w:tc>
                <w:tcPr>
                  <w:vAlign w:val="top"/>
                </w:tcPr>
                <w:p>
                  <w:r>
                    <w:t xml:space="preserve">761470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Indeterminate/Intersex/Unspecified</w:t>
                        </w:r>
                      </w:p>
                    </w:tc>
                  </w:tr>
                </w:tbl>
                <w:p/>
              </w:tc>
            </w:tr>
            <w:tr>
              <w:trPr/>
              <w:tc>
                <w:tcPr>
                  <w:tcMar>
                    <w:right w:w="29" w:type="dxa"/>
                  </w:tcMar>
                  <w:vAlign w:val="top"/>
                </w:tcPr>
                <w:p>
                  <w:pPr>
                    <w:keepNext/>
                    <w:jc w:val="center"/>
                  </w:pPr>
                  <w:r>
                    <w:t xml:space="preserve">7</w:t>
                  </w:r>
                </w:p>
              </w:tc>
              <w:tc>
                <w:tcPr>
                  <w:tcMar/>
                  <w:vAlign w:val="top"/>
                </w:tcPr>
                <w:p>
                  <w:hyperlink w:history="true" r:id="R68af872e1a1b42de">
                    <w:r>
                      <w:rPr>
                        <w:rStyle w:val="Hyperlink"/>
                      </w:rPr>
                      <w:t xml:space="preserve">Tertiary Collection of Student Information (TCSI) Indigenous status</w:t>
                    </w:r>
                  </w:hyperlink>
                </w:p>
              </w:tc>
              <w:tc>
                <w:tcPr>
                  <w:vAlign w:val="top"/>
                </w:tcPr>
                <w:p>
                  <w:r>
                    <w:t xml:space="preserve">761453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 indigenous – 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Of Aboriginal origin but not Torres Strait Islander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Of Torres Strait Islander origin but not Aboriginal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 information</w:t>
                        </w:r>
                      </w:p>
                    </w:tc>
                  </w:tr>
                </w:tbl>
                <w:p/>
              </w:tc>
            </w:tr>
            <w:tr>
              <w:trPr/>
              <w:tc>
                <w:tcPr>
                  <w:tcMar>
                    <w:right w:w="29" w:type="dxa"/>
                  </w:tcMar>
                  <w:vAlign w:val="top"/>
                </w:tcPr>
                <w:p>
                  <w:pPr>
                    <w:keepNext/>
                    <w:jc w:val="center"/>
                  </w:pPr>
                  <w:r>
                    <w:t xml:space="preserve">8</w:t>
                  </w:r>
                </w:p>
              </w:tc>
              <w:tc>
                <w:tcPr>
                  <w:tcMar/>
                  <w:vAlign w:val="top"/>
                </w:tcPr>
                <w:p>
                  <w:hyperlink w:history="true" r:id="R421c42f57d91419e">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9</w:t>
                  </w:r>
                </w:p>
              </w:tc>
              <w:tc>
                <w:tcPr>
                  <w:tcMar/>
                  <w:vAlign w:val="top"/>
                </w:tcPr>
                <w:p>
                  <w:hyperlink w:history="true" r:id="R14412f2463d24e3a">
                    <w:r>
                      <w:rPr>
                        <w:rStyle w:val="Hyperlink"/>
                      </w:rPr>
                      <w:t xml:space="preserve">Disability code</w:t>
                    </w:r>
                  </w:hyperlink>
                </w:p>
              </w:tc>
              <w:tc>
                <w:tcPr>
                  <w:vAlign w:val="top"/>
                </w:tcPr>
                <w:p>
                  <w:r>
                    <w:t xml:space="preserve">759472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Hard of hearing/deaf/Deaf</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Physical disability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Intellectual disability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Specific learning disability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Mental health condition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Low vision/Blind</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Medical condition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disability</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Neurological condition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10</w:t>
                  </w:r>
                </w:p>
              </w:tc>
              <w:tc>
                <w:tcPr>
                  <w:tcMar/>
                  <w:vAlign w:val="top"/>
                </w:tcPr>
                <w:p>
                  <w:hyperlink w:history="true" r:id="R6f8fd0da9f094973">
                    <w:r>
                      <w:rPr>
                        <w:rStyle w:val="Hyperlink"/>
                      </w:rPr>
                      <w:t xml:space="preserve">Commencing student indicator</w:t>
                    </w:r>
                  </w:hyperlink>
                </w:p>
              </w:tc>
              <w:tc>
                <w:tcPr>
                  <w:vAlign w:val="top"/>
                </w:tcPr>
                <w:p>
                  <w:r>
                    <w:t xml:space="preserve">758221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11</w:t>
                  </w:r>
                </w:p>
              </w:tc>
              <w:tc>
                <w:tcPr>
                  <w:tcMar/>
                  <w:vAlign w:val="top"/>
                </w:tcPr>
                <w:p>
                  <w:hyperlink w:history="true" r:id="R53485e2f5efa4164">
                    <w:r>
                      <w:rPr>
                        <w:rStyle w:val="Hyperlink"/>
                      </w:rPr>
                      <w:t xml:space="preserve">Full time student indicator</w:t>
                    </w:r>
                  </w:hyperlink>
                </w:p>
              </w:tc>
              <w:tc>
                <w:tcPr>
                  <w:vAlign w:val="top"/>
                </w:tcPr>
                <w:p>
                  <w:r>
                    <w:t xml:space="preserve">758135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12</w:t>
                  </w:r>
                </w:p>
              </w:tc>
              <w:tc>
                <w:tcPr>
                  <w:tcMar/>
                  <w:vAlign w:val="top"/>
                </w:tcPr>
                <w:p>
                  <w:hyperlink w:history="true" r:id="R68081920077a4856">
                    <w:r>
                      <w:rPr>
                        <w:rStyle w:val="Hyperlink"/>
                      </w:rPr>
                      <w:t xml:space="preserve">Basis for course admission</w:t>
                    </w:r>
                  </w:hyperlink>
                </w:p>
              </w:tc>
              <w:tc>
                <w:tcPr>
                  <w:vAlign w:val="top"/>
                </w:tcPr>
                <w:p>
                  <w:r>
                    <w:t xml:space="preserve">758235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basis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A higher education award course (Australian or overseas equivalent; complete or incomplete)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An enabling or bridging course delivered by a higher education provider (complete or incomplete)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Secondary education undertaken at school, VET or other Higher Education Provider (Australian or overseas equivalent)</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A VET award course or VET delivered enabling or bridging course other than a secondary education course (Australian or overseas equivalent; complete or incomplete)</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Mature age special entry provisions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A professional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Work and life experience</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Recent secondary education (whether undertaken at school, VET or another Australian provider) – ATAR only</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Recent secondary education (whether undertaken at school, VET or another Australian provider) – ATAR plus other criteria</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Recent secondary education was undertaken (whether undertaken at school, VET or another Australian or overseas provider) – only other criteria, ATAR not considered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4af450d582214caa">
                    <w:r>
                      <w:rPr>
                        <w:rStyle w:val="Hyperlink"/>
                      </w:rPr>
                      <w:t xml:space="preserve">Australian Tertiary Admission Rank</w:t>
                    </w:r>
                  </w:hyperlink>
                </w:p>
              </w:tc>
              <w:tc>
                <w:tcPr>
                  <w:vAlign w:val="top"/>
                </w:tcPr>
                <w:p>
                  <w:r>
                    <w:t xml:space="preserve">758251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available</w:t>
                        </w:r>
                      </w:p>
                    </w:tc>
                  </w:tr>
                </w:tbl>
                <w:p/>
              </w:tc>
            </w:tr>
            <w:tr>
              <w:trPr/>
              <w:tc>
                <w:tcPr>
                  <w:tcMar>
                    <w:right w:w="29" w:type="dxa"/>
                  </w:tcMar>
                  <w:vAlign w:val="top"/>
                </w:tcPr>
                <w:p>
                  <w:pPr>
                    <w:keepNext/>
                    <w:jc w:val="center"/>
                  </w:pPr>
                  <w:r>
                    <w:t xml:space="preserve">14</w:t>
                  </w:r>
                </w:p>
              </w:tc>
              <w:tc>
                <w:tcPr>
                  <w:tcMar/>
                  <w:vAlign w:val="top"/>
                </w:tcPr>
                <w:p>
                  <w:hyperlink w:history="true" r:id="R1e1ab692f3f147e4">
                    <w:r>
                      <w:rPr>
                        <w:rStyle w:val="Hyperlink"/>
                      </w:rPr>
                      <w:t xml:space="preserve">Highest educational attainment code</w:t>
                    </w:r>
                  </w:hyperlink>
                </w:p>
              </w:tc>
              <w:tc>
                <w:tcPr>
                  <w:vAlign w:val="top"/>
                </w:tcPr>
                <w:p>
                  <w:r>
                    <w:t xml:space="preserve">759709</w:t>
                  </w:r>
                </w:p>
              </w:tc>
              <w:tc>
                <w:tcPr>
                  <w:vAlign w:val="top"/>
                </w:tcPr>
                <w:p>
                  <w:r>
                    <w:t xml:space="preserve">Number
[3]</w:t>
                  </w:r>
                </w:p>
              </w:tc>
              <w:tc>
                <w:tcPr>
                  <w:vAlign w:val="top"/>
                </w:tcPr>
                <w:p>
                  <w:r>
                    <w:t xml:space="preserve">NNN</w:t>
                  </w:r>
                  <w:r>
                    <w:br/>
                  </w:r>
                </w:p>
                <w:p>
                  <w:r>
                    <w:t xml:space="preserve">The ASCED 2001 code set representing the highest level of educational achievement successfully completed.</w:t>
                  </w:r>
                </w:p>
              </w:tc>
            </w:tr>
            <w:tr>
              <w:trPr/>
              <w:tc>
                <w:tcPr>
                  <w:tcMar>
                    <w:right w:w="29" w:type="dxa"/>
                  </w:tcMar>
                  <w:vAlign w:val="top"/>
                </w:tcPr>
                <w:p>
                  <w:pPr>
                    <w:keepNext/>
                    <w:jc w:val="center"/>
                  </w:pPr>
                  <w:r>
                    <w:t xml:space="preserve">15</w:t>
                  </w:r>
                </w:p>
              </w:tc>
              <w:tc>
                <w:tcPr>
                  <w:tcMar/>
                  <w:vAlign w:val="top"/>
                </w:tcPr>
                <w:p>
                  <w:hyperlink w:history="true" r:id="R5c6ad5623fc04395">
                    <w:r>
                      <w:rPr>
                        <w:rStyle w:val="Hyperlink"/>
                      </w:rPr>
                      <w:t xml:space="preserve">Course completion year</w:t>
                    </w:r>
                  </w:hyperlink>
                </w:p>
              </w:tc>
              <w:tc>
                <w:tcPr>
                  <w:vAlign w:val="top"/>
                </w:tcPr>
                <w:p>
                  <w:r>
                    <w:t xml:space="preserve">758140</w:t>
                  </w:r>
                </w:p>
              </w:tc>
              <w:tc>
                <w:tcPr>
                  <w:vAlign w:val="top"/>
                </w:tcPr>
                <w:p>
                  <w:r>
                    <w:t xml:space="preserve">Date/Time
[4]</w:t>
                  </w:r>
                </w:p>
              </w:tc>
              <w:tc>
                <w:tcPr>
                  <w:vAlign w:val="top"/>
                </w:tcPr>
                <w:p>
                  <w:r>
                    <w:t xml:space="preserve">YYYY</w:t>
                  </w:r>
                  <w:r>
                    <w:br/>
                  </w:r>
                </w:p>
                <w:p>
                  <w:r>
                    <w:t xml:space="preserve">The calendar year, beginning on the 1st of January and ending on the 31st of December.</w:t>
                  </w:r>
                </w:p>
              </w:tc>
            </w:tr>
            <w:tr>
              <w:trPr/>
              <w:tc>
                <w:tcPr>
                  <w:tcMar>
                    <w:right w:w="29" w:type="dxa"/>
                  </w:tcMar>
                  <w:vAlign w:val="top"/>
                </w:tcPr>
                <w:p>
                  <w:pPr>
                    <w:keepNext/>
                    <w:jc w:val="center"/>
                  </w:pPr>
                  <w:r>
                    <w:t xml:space="preserve">16</w:t>
                  </w:r>
                </w:p>
              </w:tc>
              <w:tc>
                <w:tcPr>
                  <w:tcMar/>
                  <w:vAlign w:val="top"/>
                </w:tcPr>
                <w:p>
                  <w:hyperlink w:history="true" r:id="R05f214dbb3734015">
                    <w:r>
                      <w:rPr>
                        <w:rStyle w:val="Hyperlink"/>
                      </w:rPr>
                      <w:t xml:space="preserve">Higher education provider identifier code </w:t>
                    </w:r>
                  </w:hyperlink>
                </w:p>
              </w:tc>
              <w:tc>
                <w:tcPr>
                  <w:vAlign w:val="top"/>
                </w:tcPr>
                <w:p>
                  <w:r>
                    <w:t xml:space="preserve">758271</w:t>
                  </w:r>
                </w:p>
              </w:tc>
              <w:tc>
                <w:tcPr>
                  <w:vAlign w:val="top"/>
                </w:tcPr>
                <w:p>
                  <w:r>
                    <w:t xml:space="preserve">Number
[4]</w:t>
                  </w:r>
                </w:p>
              </w:tc>
              <w:tc>
                <w:tcPr>
                  <w:vAlign w:val="top"/>
                </w:tcPr>
                <w:p>
                  <w:r>
                    <w:t xml:space="preserve">NNNN</w:t>
                  </w:r>
                  <w:r>
                    <w:br/>
                  </w:r>
                </w:p>
                <w:p>
                  <w:r>
                    <w:t xml:space="preserve">A code set representing approved identifiers of higher education or vocational education and training (VET) providers. </w:t>
                  </w:r>
                </w:p>
              </w:tc>
            </w:tr>
            <w:tr>
              <w:trPr/>
              <w:tc>
                <w:tcPr>
                  <w:tcMar>
                    <w:right w:w="29" w:type="dxa"/>
                  </w:tcMar>
                  <w:vAlign w:val="top"/>
                </w:tcPr>
                <w:p>
                  <w:pPr>
                    <w:keepNext/>
                    <w:jc w:val="center"/>
                  </w:pPr>
                  <w:r>
                    <w:t xml:space="preserve">17</w:t>
                  </w:r>
                </w:p>
              </w:tc>
              <w:tc>
                <w:tcPr>
                  <w:tcMar/>
                  <w:vAlign w:val="top"/>
                </w:tcPr>
                <w:p>
                  <w:hyperlink w:history="true" r:id="Rd22938fe41924ef2">
                    <w:r>
                      <w:rPr>
                        <w:rStyle w:val="Hyperlink"/>
                      </w:rPr>
                      <w:t xml:space="preserve">Course of study components cluster</w:t>
                    </w:r>
                  </w:hyperlink>
                </w:p>
              </w:tc>
              <w:tc>
                <w:tcPr>
                  <w:vAlign w:val="top"/>
                </w:tcPr>
                <w:p>
                  <w:r>
                    <w:t xml:space="preserve">758429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1fe32d8f51b4a91">
                    <w:r>
                      <w:rPr>
                        <w:rStyle w:val="Hyperlink"/>
                      </w:rPr>
                      <w:t xml:space="preserve">Course of study identifier</w:t>
                    </w:r>
                  </w:hyperlink>
                </w:p>
              </w:tc>
              <w:tc>
                <w:tcPr>
                  <w:vAlign w:val="top"/>
                </w:tcPr>
                <w:p>
                  <w:r>
                    <w:t xml:space="preserve">758171</w:t>
                  </w:r>
                </w:p>
              </w:tc>
              <w:tc>
                <w:tcPr>
                  <w:vAlign w:val="top"/>
                </w:tcPr>
                <w:p>
                  <w:r>
                    <w:t xml:space="preserve">String
[10]</w:t>
                  </w:r>
                </w:p>
              </w:tc>
              <w:tc>
                <w:tcPr>
                  <w:vAlign w:val="top"/>
                </w:tcPr>
                <w:p>
                  <w:r>
                    <w:t xml:space="preserve">X[X(9)]</w:t>
                  </w:r>
                  <w:r>
                    <w:br/>
                  </w:r>
                </w:p>
                <w:p>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4b0eb08c20504ef1">
                    <w:r>
                      <w:rPr>
                        <w:rStyle w:val="Hyperlink"/>
                      </w:rPr>
                      <w:t xml:space="preserve">Course of study name</w:t>
                    </w:r>
                  </w:hyperlink>
                </w:p>
              </w:tc>
              <w:tc>
                <w:tcPr>
                  <w:vAlign w:val="top"/>
                </w:tcPr>
                <w:p>
                  <w:r>
                    <w:t xml:space="preserve">758176</w:t>
                  </w:r>
                </w:p>
              </w:tc>
              <w:tc>
                <w:tcPr>
                  <w:vAlign w:val="top"/>
                </w:tcPr>
                <w:p>
                  <w:r>
                    <w:t xml:space="preserve">String
[210]</w:t>
                  </w:r>
                </w:p>
              </w:tc>
              <w:tc>
                <w:tcPr>
                  <w:vAlign w:val="top"/>
                </w:tcPr>
                <w:p>
                  <w:r>
                    <w:t xml:space="preserve">X[X(209)]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d847ecab2c644b3a">
                    <w:r>
                      <w:rPr>
                        <w:rStyle w:val="Hyperlink"/>
                      </w:rPr>
                      <w:t xml:space="preserve">Higher and vocational education course type code</w:t>
                    </w:r>
                  </w:hyperlink>
                </w:p>
              </w:tc>
              <w:tc>
                <w:tcPr>
                  <w:vAlign w:val="top"/>
                </w:tcPr>
                <w:p>
                  <w:r>
                    <w:t xml:space="preserve">758186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Higher Doctorate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Doctorate by research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Masters (Research)</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Masters (Coursework)</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Postgraduate Qualifying or Preliminary (for Master's, Doctorate or Higher Doctorate)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Graduate Diploma/ Postgraduate Diploma (pass or honours) involving new academic, professional or vocational area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Graduate Diploma/ Postgraduate Diploma (pass or honours) extending skills and knowledge in a professional area previously studied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Bachelors Graduate Entry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Bachelors Honours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Bachelors Pass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Doctorate by coursework</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Associate degree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Masters (Extended)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Other undergraduate award course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Undergraduate short course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Enabling course</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Cross Institutional program for undergraduate courses at home Higher Education Provider</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Cross Institutional program for postgraduate courses at home Higher Education Provider</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on-award course (including Bridging for overseas trained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Open Universities Australia undergraduate studies</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Open Universities Australia postgraduate studies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VET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VET Graduate Diploma</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b6d0c8b2ee7a4b50">
                    <w:r>
                      <w:rPr>
                        <w:rStyle w:val="Hyperlink"/>
                      </w:rPr>
                      <w:t xml:space="preserve">Tertiary Collection of Student Information primary field of education code</w:t>
                    </w:r>
                  </w:hyperlink>
                </w:p>
              </w:tc>
              <w:tc>
                <w:tcPr>
                  <w:vAlign w:val="top"/>
                </w:tcPr>
                <w:p>
                  <w:r>
                    <w:t xml:space="preserve">758195</w:t>
                  </w:r>
                </w:p>
              </w:tc>
              <w:tc>
                <w:tcPr>
                  <w:vAlign w:val="top"/>
                </w:tcPr>
                <w:p>
                  <w:r>
                    <w:t xml:space="preserve">Number
[6]</w:t>
                  </w:r>
                </w:p>
              </w:tc>
              <w:tc>
                <w:tcPr>
                  <w:vAlign w:val="top"/>
                </w:tcPr>
                <w:p>
                  <w:r>
                    <w:t xml:space="preserve">N[N(5)]</w:t>
                  </w:r>
                  <w:r>
                    <w:br/>
                  </w:r>
                </w:p>
                <w:p>
                  <w:r>
                    <w:t xml:space="preserve">A code set that identifies the field of education for the Tertiary Collection of Student Information (TCSI).</w:t>
                  </w:r>
                </w:p>
              </w:tc>
            </w:tr>
            <w:tr>
              <w:trPr/>
              <w:tc>
                <w:tcPr>
                  <w:tcMar>
                    <w:right w:w="29" w:type="dxa"/>
                  </w:tcMar>
                  <w:vAlign w:val="top"/>
                </w:tcPr>
                <w:p>
                  <w:pPr>
                    <w:keepNext/>
                    <w:jc w:val="center"/>
                  </w:pPr>
                  <w:r>
                    <w:t xml:space="preserve">      5</w:t>
                  </w:r>
                </w:p>
              </w:tc>
              <w:tc>
                <w:tcPr>
                  <w:tcMar>
                    <w:left w:w="225" w:type="dxa"/>
                  </w:tcMar>
                  <w:vAlign w:val="top"/>
                </w:tcPr>
                <w:p>
                  <w:hyperlink w:history="true" r:id="R67f3ad60433e4f1c">
                    <w:r>
                      <w:rPr>
                        <w:rStyle w:val="Hyperlink"/>
                      </w:rPr>
                      <w:t xml:space="preserve">Equivalent full-time student load</w:t>
                    </w:r>
                  </w:hyperlink>
                </w:p>
              </w:tc>
              <w:tc>
                <w:tcPr>
                  <w:vAlign w:val="top"/>
                </w:tcPr>
                <w:p>
                  <w:r>
                    <w:t xml:space="preserve">758291</w:t>
                  </w:r>
                </w:p>
              </w:tc>
              <w:tc>
                <w:tcPr>
                  <w:vAlign w:val="top"/>
                </w:tcPr>
                <w:p>
                  <w:r>
                    <w:t xml:space="preserve">Number
[2]</w:t>
                  </w:r>
                </w:p>
              </w:tc>
              <w:tc>
                <w:tcPr>
                  <w:vAlign w:val="top"/>
                </w:tcPr>
                <w:p>
                  <w:r>
                    <w:t xml:space="preserve">N.N</w:t>
                  </w:r>
                  <w:r>
                    <w:br/>
                  </w:r>
                </w:p>
                <w:p>
                  <w:r>
                    <w:t xml:space="preserve">A numeric value representing a full-time equivalent study load.</w:t>
                  </w:r>
                </w:p>
                <w:p>
                  <w:r>
                    <w:t xml:space="preserve"> </w:t>
                  </w:r>
                </w:p>
              </w:tc>
            </w:tr>
            <w:tr>
              <w:trPr/>
              <w:tc>
                <w:tcPr>
                  <w:tcMar>
                    <w:right w:w="29" w:type="dxa"/>
                  </w:tcMar>
                  <w:vAlign w:val="top"/>
                </w:tcPr>
                <w:p>
                  <w:pPr>
                    <w:keepNext/>
                    <w:jc w:val="center"/>
                  </w:pPr>
                  <w:r>
                    <w:t xml:space="preserve">      6</w:t>
                  </w:r>
                </w:p>
              </w:tc>
              <w:tc>
                <w:tcPr>
                  <w:tcMar>
                    <w:left w:w="225" w:type="dxa"/>
                  </w:tcMar>
                  <w:vAlign w:val="top"/>
                </w:tcPr>
                <w:p>
                  <w:hyperlink w:history="true" r:id="R1343a2fb35dc435c">
                    <w:r>
                      <w:rPr>
                        <w:rStyle w:val="Hyperlink"/>
                      </w:rPr>
                      <w:t xml:space="preserve">Tertiary Collection of Student Information special course code</w:t>
                    </w:r>
                  </w:hyperlink>
                </w:p>
              </w:tc>
              <w:tc>
                <w:tcPr>
                  <w:vAlign w:val="top"/>
                </w:tcPr>
                <w:p>
                  <w:r>
                    <w:t xml:space="preserve">758212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 general nursing course required for initial registration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 course providing initial teacher training</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 course of study in medicine, completion of which would allow provisional registration as a medical practitioner by an authority of a State, a Territory or the Commonwealth</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A course of study in veterinary science, completion of which would satisfy the academic requirements for registration as a veterinary surgeon or veterinary practitioner by an authority of a State, a Territory or the Commonwealth</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Course of study in dentistry, completion of which would satisfy the academic requirements for registration as a dentist by an authority of a State, a Territory or the Commonwealth</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Course of study in clinical psychology (as defined in the Commonwealth Grant Scheme Guidelines)</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A course of study in aviation listed in the FEE-HELP Guidelines 2017</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0921e936b2c04d05">
                    <w:r>
                      <w:rPr>
                        <w:rStyle w:val="Hyperlink"/>
                      </w:rPr>
                      <w:t xml:space="preserve">Tertiary Collection of Student Information supplementary field of education code </w:t>
                    </w:r>
                  </w:hyperlink>
                </w:p>
              </w:tc>
              <w:tc>
                <w:tcPr>
                  <w:vAlign w:val="top"/>
                </w:tcPr>
                <w:p>
                  <w:r>
                    <w:t xml:space="preserve">758422</w:t>
                  </w:r>
                </w:p>
              </w:tc>
              <w:tc>
                <w:tcPr>
                  <w:vAlign w:val="top"/>
                </w:tcPr>
                <w:p>
                  <w:r>
                    <w:t xml:space="preserve">Number
[6]</w:t>
                  </w:r>
                </w:p>
              </w:tc>
              <w:tc>
                <w:tcPr>
                  <w:vAlign w:val="top"/>
                </w:tcPr>
                <w:p>
                  <w:r>
                    <w:t xml:space="preserve">N[N(5)]</w:t>
                  </w:r>
                  <w:r>
                    <w:br/>
                  </w:r>
                </w:p>
                <w:p>
                  <w:r>
                    <w:t xml:space="preserve">A code set that identifies the field of education for the Tertiary Collection of Student Information (TCSI).</w:t>
                  </w:r>
                </w:p>
              </w:tc>
            </w:tr>
            <w:tr>
              <w:trPr/>
              <w:tc>
                <w:tcPr>
                  <w:tcMar>
                    <w:right w:w="29" w:type="dxa"/>
                  </w:tcMar>
                  <w:vAlign w:val="top"/>
                </w:tcPr>
                <w:p>
                  <w:pPr>
                    <w:keepNext/>
                    <w:jc w:val="center"/>
                  </w:pPr>
                  <w:r>
                    <w:t xml:space="preserve">18</w:t>
                  </w:r>
                </w:p>
              </w:tc>
              <w:tc>
                <w:tcPr>
                  <w:tcMar/>
                  <w:vAlign w:val="top"/>
                </w:tcPr>
                <w:p>
                  <w:hyperlink w:history="true" r:id="R7f69644ed55b462d">
                    <w:r>
                      <w:rPr>
                        <w:rStyle w:val="Hyperlink"/>
                      </w:rPr>
                      <w:t xml:space="preserve">Unit of study components cluster</w:t>
                    </w:r>
                  </w:hyperlink>
                </w:p>
              </w:tc>
              <w:tc>
                <w:tcPr>
                  <w:vAlign w:val="top"/>
                </w:tcPr>
                <w:p>
                  <w:r>
                    <w:t xml:space="preserve">758431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94297c5349e48a7">
                    <w:r>
                      <w:rPr>
                        <w:rStyle w:val="Hyperlink"/>
                      </w:rPr>
                      <w:t xml:space="preserve">Unit of study identifier code</w:t>
                    </w:r>
                  </w:hyperlink>
                </w:p>
              </w:tc>
              <w:tc>
                <w:tcPr>
                  <w:vAlign w:val="top"/>
                </w:tcPr>
                <w:p>
                  <w:r>
                    <w:t xml:space="preserve">758324</w:t>
                  </w:r>
                </w:p>
              </w:tc>
              <w:tc>
                <w:tcPr>
                  <w:vAlign w:val="top"/>
                </w:tcPr>
                <w:p>
                  <w:r>
                    <w:t xml:space="preserve">String
[12]</w:t>
                  </w:r>
                </w:p>
              </w:tc>
              <w:tc>
                <w:tcPr>
                  <w:vAlign w:val="top"/>
                </w:tcPr>
                <w:p>
                  <w:r>
                    <w:t xml:space="preserve">X[X(11)]</w:t>
                  </w:r>
                  <w:r>
                    <w:br/>
                  </w:r>
                </w:p>
                <w:p>
                  <w:r>
                    <w:t xml:space="preserve">A code set representing unique identifiers for units of study.</w:t>
                  </w:r>
                </w:p>
              </w:tc>
            </w:tr>
            <w:tr>
              <w:trPr/>
              <w:tc>
                <w:tcPr>
                  <w:tcMar>
                    <w:right w:w="29" w:type="dxa"/>
                  </w:tcMar>
                  <w:vAlign w:val="top"/>
                </w:tcPr>
                <w:p>
                  <w:pPr>
                    <w:keepNext/>
                    <w:jc w:val="center"/>
                  </w:pPr>
                  <w:r>
                    <w:t xml:space="preserve">      2</w:t>
                  </w:r>
                </w:p>
              </w:tc>
              <w:tc>
                <w:tcPr>
                  <w:tcMar>
                    <w:left w:w="225" w:type="dxa"/>
                  </w:tcMar>
                  <w:vAlign w:val="top"/>
                </w:tcPr>
                <w:p>
                  <w:hyperlink w:history="true" r:id="Ra1278c005d06449d">
                    <w:r>
                      <w:rPr>
                        <w:rStyle w:val="Hyperlink"/>
                      </w:rPr>
                      <w:t xml:space="preserve">Tertiary Collection of Student Information discipline code </w:t>
                    </w:r>
                  </w:hyperlink>
                </w:p>
              </w:tc>
              <w:tc>
                <w:tcPr>
                  <w:vAlign w:val="top"/>
                </w:tcPr>
                <w:p>
                  <w:r>
                    <w:t xml:space="preserve">758344</w:t>
                  </w:r>
                </w:p>
              </w:tc>
              <w:tc>
                <w:tcPr>
                  <w:vAlign w:val="top"/>
                </w:tcPr>
                <w:p>
                  <w:r>
                    <w:t xml:space="preserve">String
[6]</w:t>
                  </w:r>
                </w:p>
              </w:tc>
              <w:tc>
                <w:tcPr>
                  <w:vAlign w:val="top"/>
                </w:tcPr>
                <w:p>
                  <w:r>
                    <w:t xml:space="preserve">NNNNNN</w:t>
                  </w:r>
                  <w:r>
                    <w:br/>
                  </w:r>
                </w:p>
                <w:p>
                  <w:r>
                    <w:t xml:space="preserve">A code set which uniquely identifies the discipline of a unit of study for the Tertiary Collection of Student Information (TCSI).</w:t>
                  </w:r>
                </w:p>
              </w:tc>
            </w:tr>
            <w:tr>
              <w:trPr/>
              <w:tc>
                <w:tcPr>
                  <w:tcMar>
                    <w:right w:w="29" w:type="dxa"/>
                  </w:tcMar>
                  <w:vAlign w:val="top"/>
                </w:tcPr>
                <w:p>
                  <w:pPr>
                    <w:keepNext/>
                    <w:jc w:val="center"/>
                  </w:pPr>
                  <w:r>
                    <w:t xml:space="preserve">      3</w:t>
                  </w:r>
                </w:p>
              </w:tc>
              <w:tc>
                <w:tcPr>
                  <w:tcMar>
                    <w:left w:w="225" w:type="dxa"/>
                  </w:tcMar>
                  <w:vAlign w:val="top"/>
                </w:tcPr>
                <w:p>
                  <w:hyperlink w:history="true" r:id="R6aee9da442604d7c">
                    <w:r>
                      <w:rPr>
                        <w:rStyle w:val="Hyperlink"/>
                      </w:rPr>
                      <w:t xml:space="preserve">Unit of study equivalent full-time student load value </w:t>
                    </w:r>
                  </w:hyperlink>
                </w:p>
              </w:tc>
              <w:tc>
                <w:tcPr>
                  <w:vAlign w:val="top"/>
                </w:tcPr>
                <w:p>
                  <w:r>
                    <w:t xml:space="preserve">758355</w:t>
                  </w:r>
                </w:p>
              </w:tc>
              <w:tc>
                <w:tcPr>
                  <w:vAlign w:val="top"/>
                </w:tcPr>
                <w:p>
                  <w:r>
                    <w:t xml:space="preserve">Number
[10]</w:t>
                  </w:r>
                </w:p>
              </w:tc>
              <w:tc>
                <w:tcPr>
                  <w:vAlign w:val="top"/>
                </w:tcPr>
                <w:p>
                  <w:r>
                    <w:t xml:space="preserve">N.N[N(8)]</w:t>
                  </w:r>
                  <w:r>
                    <w:br/>
                  </w:r>
                </w:p>
                <w:p>
                  <w:r>
                    <w:t xml:space="preserve">A numeric value representing the equivalent full-time student load for a year. </w:t>
                  </w:r>
                </w:p>
              </w:tc>
            </w:tr>
            <w:tr>
              <w:trPr/>
              <w:tc>
                <w:tcPr>
                  <w:tcMar>
                    <w:right w:w="29" w:type="dxa"/>
                  </w:tcMar>
                  <w:vAlign w:val="top"/>
                </w:tcPr>
                <w:p>
                  <w:pPr>
                    <w:keepNext/>
                    <w:jc w:val="center"/>
                  </w:pPr>
                  <w:r>
                    <w:t xml:space="preserve">      4</w:t>
                  </w:r>
                </w:p>
              </w:tc>
              <w:tc>
                <w:tcPr>
                  <w:tcMar>
                    <w:left w:w="225" w:type="dxa"/>
                  </w:tcMar>
                  <w:vAlign w:val="top"/>
                </w:tcPr>
                <w:p>
                  <w:hyperlink w:history="true" r:id="Rcc6c2c4f60c84aab">
                    <w:r>
                      <w:rPr>
                        <w:rStyle w:val="Hyperlink"/>
                      </w:rPr>
                      <w:t xml:space="preserve">Unit of study census date</w:t>
                    </w:r>
                  </w:hyperlink>
                </w:p>
              </w:tc>
              <w:tc>
                <w:tcPr>
                  <w:vAlign w:val="top"/>
                </w:tcPr>
                <w:p>
                  <w:r>
                    <w:t xml:space="preserve">758314</w:t>
                  </w:r>
                </w:p>
              </w:tc>
              <w:tc>
                <w:tcPr>
                  <w:vAlign w:val="top"/>
                </w:tcPr>
                <w:p>
                  <w:r>
                    <w:t xml:space="preserve">Date/Time
[10]</w:t>
                  </w:r>
                </w:p>
              </w:tc>
              <w:tc>
                <w:tcPr>
                  <w:vAlign w:val="top"/>
                </w:tcPr>
                <w:p>
                  <w:r>
                    <w:t xml:space="preserve">YYYY-MM-DD</w:t>
                  </w:r>
                  <w:r>
                    <w:br/>
                  </w:r>
                </w:p>
                <w:p>
                  <w:r>
                    <w:t xml:space="preserve">The day and month of a particular year, expressed in ISO 8601 format.</w:t>
                  </w:r>
                </w:p>
              </w:tc>
            </w:tr>
            <w:tr>
              <w:trPr/>
              <w:tc>
                <w:tcPr>
                  <w:tcMar>
                    <w:right w:w="29" w:type="dxa"/>
                  </w:tcMar>
                  <w:vAlign w:val="top"/>
                </w:tcPr>
                <w:p>
                  <w:pPr>
                    <w:keepNext/>
                    <w:jc w:val="center"/>
                  </w:pPr>
                  <w:r>
                    <w:t xml:space="preserve">      5</w:t>
                  </w:r>
                </w:p>
              </w:tc>
              <w:tc>
                <w:tcPr>
                  <w:tcMar>
                    <w:left w:w="225" w:type="dxa"/>
                  </w:tcMar>
                  <w:vAlign w:val="top"/>
                </w:tcPr>
                <w:p>
                  <w:hyperlink w:history="true" r:id="R36110aa67b094111">
                    <w:r>
                      <w:rPr>
                        <w:rStyle w:val="Hyperlink"/>
                      </w:rPr>
                      <w:t xml:space="preserve">Unit of study completion status code</w:t>
                    </w:r>
                  </w:hyperlink>
                </w:p>
              </w:tc>
              <w:tc>
                <w:tcPr>
                  <w:vAlign w:val="top"/>
                </w:tcPr>
                <w:p>
                  <w:r>
                    <w:t xml:space="preserve">758335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Withdrew without academic penalty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Failed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Successfully completed all the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Unit of study to be commenced later in the year or still in process of completing or completion status not yet determined​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Recognition of prior learning (VET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Withdrew due to medical reasons</w:t>
                        </w:r>
                      </w:p>
                    </w:tc>
                  </w:tr>
                </w:tbl>
                <w:p/>
              </w:tc>
            </w:tr>
            <w:tr>
              <w:trPr/>
              <w:tc>
                <w:tcPr>
                  <w:tcMar>
                    <w:right w:w="29" w:type="dxa"/>
                  </w:tcMar>
                  <w:vAlign w:val="top"/>
                </w:tcPr>
                <w:p>
                  <w:pPr>
                    <w:keepNext/>
                    <w:jc w:val="center"/>
                  </w:pPr>
                  <w:r>
                    <w:t xml:space="preserve">19</w:t>
                  </w:r>
                </w:p>
              </w:tc>
              <w:tc>
                <w:tcPr>
                  <w:tcMar/>
                  <w:vAlign w:val="top"/>
                </w:tcPr>
                <w:p>
                  <w:hyperlink w:history="true" r:id="R25ac6c7133da4aaa">
                    <w:r>
                      <w:rPr>
                        <w:rStyle w:val="Hyperlink"/>
                      </w:rPr>
                      <w:t xml:space="preserve">Tertiary Collection of Student Information citizenship status code </w:t>
                    </w:r>
                  </w:hyperlink>
                </w:p>
              </w:tc>
              <w:tc>
                <w:tcPr>
                  <w:vAlign w:val="top"/>
                </w:tcPr>
                <w:p>
                  <w:r>
                    <w:t xml:space="preserve">758398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Australian citizen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Zealand citizen or diplomat of New Zealand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Permanent visa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Temporary entry permit, diplomat, or dependent of diplomat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one of the above categories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Permanent humanitarian visa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 information</w:t>
                        </w:r>
                      </w:p>
                    </w:tc>
                  </w:tr>
                </w:tbl>
                <w:p/>
              </w:tc>
            </w:tr>
            <w:tr>
              <w:trPr/>
              <w:tc>
                <w:tcPr>
                  <w:tcMar>
                    <w:right w:w="29" w:type="dxa"/>
                  </w:tcMar>
                  <w:vAlign w:val="top"/>
                </w:tcPr>
                <w:p>
                  <w:pPr>
                    <w:keepNext/>
                    <w:jc w:val="center"/>
                  </w:pPr>
                  <w:r>
                    <w:t xml:space="preserve">20</w:t>
                  </w:r>
                </w:p>
              </w:tc>
              <w:tc>
                <w:tcPr>
                  <w:tcMar/>
                  <w:vAlign w:val="top"/>
                </w:tcPr>
                <w:p>
                  <w:hyperlink w:history="true" r:id="R2692eed1096240ee">
                    <w:r>
                      <w:rPr>
                        <w:rStyle w:val="Hyperlink"/>
                      </w:rPr>
                      <w:t xml:space="preserve">Student loan status</w:t>
                    </w:r>
                  </w:hyperlink>
                </w:p>
              </w:tc>
              <w:tc>
                <w:tcPr>
                  <w:vAlign w:val="top"/>
                </w:tcPr>
                <w:p>
                  <w:r>
                    <w:t xml:space="preserve">758363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Deferred all or part of the student contribution through HECS‑HELP</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Paid full student contribution up-front with the HECS-HELP discount</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Paid full student contribution up-front without the HECS-HELP discount</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Deferred all or part of Award or Enabling course tuition fee through FEE‑HELP</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Deferred all or part of tuition fee through FEE‑HELP - Employer reserved place</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Deferred all or part of OUA tuition fee through FEE‑HELP</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Deferred all or part of BOTP tuition fee through FEE‑HELP</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OS‑HELP for study in non‑Asian countries</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OS‑HELP for study in Asia</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OS‑HELP Language study</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Student in a Commonwealth supported place with an Exemption scholarship (no student contribution to be charged)</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A domestic student enrolled in an enabling course (i.e. bridging or supplementary programme)</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Student undertaking Work Experience in Industry (WEI) where learning and performance is not directed by, and support is not received from, the Provider and for which a student contribution cannot be charged</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Student in a non‑Commonwealth supported place with an Exemption scholarship (no tuition fee to be charged)</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Student undertaking Work Experience in Industry (WEI) where learning and performance is not directed by, and support is not received from, the provider and for which a tuition fee cannot be charged</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Deferred all or part of SA‑fee for a Course of Study through SA‑HELP</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Deferred all or part of SA‑fee for a Bridging Course for Overseas Trained Professional through SA‑HELP</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A domestic student enrolled in a non‑award course (other than an Enabling course)</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Paid full Award or Enabling course tuition fee</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Paid full tuition fee - for Employer reserved place</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Paid full OUA tuition fee</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Paid full BOTP tuition fee</w:t>
                        </w:r>
                      </w:p>
                    </w:tc>
                  </w:tr>
                  <w:tr>
                    <w:trPr/>
                    <w:tc>
                      <w:tcPr>
                        <w:tcW w:w="1000" w:type="pct"/>
                        <w:tcBorders>
                          <w:top w:val="none" w:color="000000" w:sz="0"/>
                          <w:left w:val="none" w:color="000000" w:sz="0"/>
                          <w:bottom w:val="none" w:color="000000" w:sz="0"/>
                          <w:right w:val="none" w:color="000000" w:sz="0"/>
                        </w:tcBorders>
                        <w:tcMar/>
                        <w:vAlign w:val="top"/>
                      </w:tcPr>
                      <w:p>
                        <w:r>
                          <w:t xml:space="preserve">310 </w:t>
                        </w:r>
                      </w:p>
                    </w:tc>
                    <w:tc>
                      <w:tcPr>
                        <w:tcBorders>
                          <w:top w:val="none" w:color="000000" w:sz="0"/>
                          <w:left w:val="none" w:color="000000" w:sz="0"/>
                          <w:bottom w:val="none" w:color="000000" w:sz="0"/>
                          <w:right w:val="none" w:color="000000" w:sz="0"/>
                        </w:tcBorders>
                        <w:tcMar/>
                        <w:vAlign w:val="top"/>
                      </w:tcPr>
                      <w:p>
                        <w:r>
                          <w:t xml:space="preserve">A fee‑paying overseas student who is not sponsored under a foreign aid program, and including students with these awards: SOPF (Special Overseas Postgraduate Fund); Australian‑European Awards Program; and the Commonwealth Scholarship and Fellowship Plan</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A fee‑paying overseas student who is sponsored under a foreign aid program. Includes those with Australian Development Cooperation Scholarships (ADCOS) and any other Australian foreign aid program for which students are enrolled in higher education providers by the Department of Foreign Affairs and Trade</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A domestic or overseas student receiving a Research Training Program (RTP) Fees Offset as defined in the Commonwealth Scholarships Guidelines (Research)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non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Restricted Access Arrangement</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Victorian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New South Wales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Queensland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South Australian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Western Australian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Tasmania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Northern Territory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Deferred all/part of tuition fee through VET FEE‑HELP / VET Student Loans - Australian Capital Territory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Paid full tuition fee - non‑State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Paid full tuition fee - Restricted Access Arrangement</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Paid full tuition fee - Victorian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Paid full tuition fee - New South Wales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Paid full tuition fee - Queensland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Paid full tuition fee - South Australian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507 </w:t>
                        </w:r>
                      </w:p>
                    </w:tc>
                    <w:tc>
                      <w:tcPr>
                        <w:tcBorders>
                          <w:top w:val="none" w:color="000000" w:sz="0"/>
                          <w:left w:val="none" w:color="000000" w:sz="0"/>
                          <w:bottom w:val="none" w:color="000000" w:sz="0"/>
                          <w:right w:val="none" w:color="000000" w:sz="0"/>
                        </w:tcBorders>
                        <w:tcMar/>
                        <w:vAlign w:val="top"/>
                      </w:tcPr>
                      <w:p>
                        <w:r>
                          <w:t xml:space="preserve">Paid full tuition fee - Western Australian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508 </w:t>
                        </w:r>
                      </w:p>
                    </w:tc>
                    <w:tc>
                      <w:tcPr>
                        <w:tcBorders>
                          <w:top w:val="none" w:color="000000" w:sz="0"/>
                          <w:left w:val="none" w:color="000000" w:sz="0"/>
                          <w:bottom w:val="none" w:color="000000" w:sz="0"/>
                          <w:right w:val="none" w:color="000000" w:sz="0"/>
                        </w:tcBorders>
                        <w:tcMar/>
                        <w:vAlign w:val="top"/>
                      </w:tcPr>
                      <w:p>
                        <w:r>
                          <w:t xml:space="preserve">Paid full tuition fee - Tasmania State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509 </w:t>
                        </w:r>
                      </w:p>
                    </w:tc>
                    <w:tc>
                      <w:tcPr>
                        <w:tcBorders>
                          <w:top w:val="none" w:color="000000" w:sz="0"/>
                          <w:left w:val="none" w:color="000000" w:sz="0"/>
                          <w:bottom w:val="none" w:color="000000" w:sz="0"/>
                          <w:right w:val="none" w:color="000000" w:sz="0"/>
                        </w:tcBorders>
                        <w:tcMar/>
                        <w:vAlign w:val="top"/>
                      </w:tcPr>
                      <w:p>
                        <w:r>
                          <w:t xml:space="preserve">Paid full tuition fee - Northern Territory Government subsidised</w:t>
                        </w:r>
                      </w:p>
                    </w:tc>
                  </w:tr>
                  <w:tr>
                    <w:trPr/>
                    <w:tc>
                      <w:tcPr>
                        <w:tcW w:w="1000" w:type="pct"/>
                        <w:tcBorders>
                          <w:top w:val="none" w:color="000000" w:sz="0"/>
                          <w:left w:val="none" w:color="000000" w:sz="0"/>
                          <w:bottom w:val="none" w:color="000000" w:sz="0"/>
                          <w:right w:val="none" w:color="000000" w:sz="0"/>
                        </w:tcBorders>
                        <w:tcMar/>
                        <w:vAlign w:val="top"/>
                      </w:tcPr>
                      <w:p>
                        <w:r>
                          <w:t xml:space="preserve">510 </w:t>
                        </w:r>
                      </w:p>
                    </w:tc>
                    <w:tc>
                      <w:tcPr>
                        <w:tcBorders>
                          <w:top w:val="none" w:color="000000" w:sz="0"/>
                          <w:left w:val="none" w:color="000000" w:sz="0"/>
                          <w:bottom w:val="none" w:color="000000" w:sz="0"/>
                          <w:right w:val="none" w:color="000000" w:sz="0"/>
                        </w:tcBorders>
                        <w:tcMar/>
                        <w:vAlign w:val="top"/>
                      </w:tcPr>
                      <w:p>
                        <w:r>
                          <w:t xml:space="preserve">Paid full tuition fee - Australian Capital Territory Government subsidised</w:t>
                        </w:r>
                      </w:p>
                    </w:tc>
                  </w:tr>
                </w:tbl>
                <w:p/>
              </w:tc>
            </w:tr>
            <w:tr>
              <w:trPr/>
              <w:tc>
                <w:tcPr>
                  <w:tcMar>
                    <w:right w:w="29" w:type="dxa"/>
                  </w:tcMar>
                  <w:vAlign w:val="top"/>
                </w:tcPr>
                <w:p>
                  <w:pPr>
                    <w:keepNext/>
                    <w:jc w:val="center"/>
                  </w:pPr>
                  <w:r>
                    <w:t xml:space="preserve">21</w:t>
                  </w:r>
                </w:p>
              </w:tc>
              <w:tc>
                <w:tcPr>
                  <w:tcMar/>
                  <w:vAlign w:val="top"/>
                </w:tcPr>
                <w:p>
                  <w:hyperlink w:history="true" r:id="Rd611af72b9974009">
                    <w:r>
                      <w:rPr>
                        <w:rStyle w:val="Hyperlink"/>
                      </w:rPr>
                      <w:t xml:space="preserve">Tertiary Collection of Student Information mode of course attendance code</w:t>
                    </w:r>
                  </w:hyperlink>
                </w:p>
              </w:tc>
              <w:tc>
                <w:tcPr>
                  <w:vAlign w:val="top"/>
                </w:tcPr>
                <w:p>
                  <w:r>
                    <w:t xml:space="preserve">758384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Internal Mode of Attendance at an on‑shore or off‑shore campus (includes classroom based)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External Mode of Attendance at an on‑shore or off‑shore campus (includes electronic based, online and correspondence)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Multi‑modal Mode of Attendance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Completed course for which ALL units of study have been completed either solely through the Open Universities Australia (OUA) or through the OUA and another Higher Education provider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Award granted on the basis of submission of original work which is not the result of supervised candidature within the Higher Education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Employer based (VET providers only)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Completed course for which ALL units of study have been completed through one or more higher education providers, other than OUA</w:t>
                        </w:r>
                      </w:p>
                    </w:tc>
                  </w:tr>
                </w:tbl>
                <w:p/>
              </w:tc>
            </w:tr>
          </w:tbl>
          <w:p/>
        </w:tc>
      </w:tr>
    </w:tbl>
    <w:p>
      <w:r>
        <w:br/>
      </w:r>
    </w:p>
    <w:sectPr>
      <w:footerReference xmlns:r="http://schemas.openxmlformats.org/officeDocument/2006/relationships" w:type="default" r:id="Re9112cb1e4b045f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758462</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619d129c5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12cb1e4b045f4" /><Relationship Type="http://schemas.openxmlformats.org/officeDocument/2006/relationships/header" Target="/word/header1.xml" Id="R50598dd9f07740cd" /><Relationship Type="http://schemas.openxmlformats.org/officeDocument/2006/relationships/settings" Target="/word/settings.xml" Id="R6598a9db47da4c32" /><Relationship Type="http://schemas.openxmlformats.org/officeDocument/2006/relationships/styles" Target="/word/styles.xml" Id="R1109e8a81a3a4d25" /><Relationship Type="http://schemas.openxmlformats.org/officeDocument/2006/relationships/hyperlink" Target="https://meteor.aihw.gov.au/content/759618" TargetMode="External" Id="Re8ffbee6d64b4339" /><Relationship Type="http://schemas.openxmlformats.org/officeDocument/2006/relationships/hyperlink" Target="https://meteor.aihw.gov.au/content/761502" TargetMode="External" Id="R4d93a60b7032460c" /><Relationship Type="http://schemas.openxmlformats.org/officeDocument/2006/relationships/hyperlink" Target="https://meteor.aihw.gov.au/content/722751" TargetMode="External" Id="R7a11e9794e2b4dae" /><Relationship Type="http://schemas.openxmlformats.org/officeDocument/2006/relationships/hyperlink" Target="https://meteor.aihw.gov.au/content/611398" TargetMode="External" Id="R199eb196b0ce4a4b" /><Relationship Type="http://schemas.openxmlformats.org/officeDocument/2006/relationships/hyperlink" Target="https://meteor.aihw.gov.au/content/759462" TargetMode="External" Id="R7d4fedaa571246fa" /><Relationship Type="http://schemas.openxmlformats.org/officeDocument/2006/relationships/hyperlink" Target="https://meteor.aihw.gov.au/content/761470" TargetMode="External" Id="R659bd80a81c14398" /><Relationship Type="http://schemas.openxmlformats.org/officeDocument/2006/relationships/hyperlink" Target="https://meteor.aihw.gov.au/content/761453" TargetMode="External" Id="R68af872e1a1b42de" /><Relationship Type="http://schemas.openxmlformats.org/officeDocument/2006/relationships/hyperlink" Target="https://meteor.aihw.gov.au/content/659454" TargetMode="External" Id="R421c42f57d91419e" /><Relationship Type="http://schemas.openxmlformats.org/officeDocument/2006/relationships/hyperlink" Target="https://meteor.aihw.gov.au/content/759472" TargetMode="External" Id="R14412f2463d24e3a" /><Relationship Type="http://schemas.openxmlformats.org/officeDocument/2006/relationships/hyperlink" Target="https://meteor.aihw.gov.au/content/758221" TargetMode="External" Id="R6f8fd0da9f094973" /><Relationship Type="http://schemas.openxmlformats.org/officeDocument/2006/relationships/hyperlink" Target="https://meteor.aihw.gov.au/content/758135" TargetMode="External" Id="R53485e2f5efa4164" /><Relationship Type="http://schemas.openxmlformats.org/officeDocument/2006/relationships/hyperlink" Target="https://meteor.aihw.gov.au/content/758235" TargetMode="External" Id="R68081920077a4856" /><Relationship Type="http://schemas.openxmlformats.org/officeDocument/2006/relationships/hyperlink" Target="https://meteor.aihw.gov.au/content/758251" TargetMode="External" Id="R4af450d582214caa" /><Relationship Type="http://schemas.openxmlformats.org/officeDocument/2006/relationships/hyperlink" Target="https://meteor.aihw.gov.au/content/759709" TargetMode="External" Id="R1e1ab692f3f147e4" /><Relationship Type="http://schemas.openxmlformats.org/officeDocument/2006/relationships/hyperlink" Target="https://meteor.aihw.gov.au/content/758140" TargetMode="External" Id="R5c6ad5623fc04395" /><Relationship Type="http://schemas.openxmlformats.org/officeDocument/2006/relationships/hyperlink" Target="https://meteor.aihw.gov.au/content/758271" TargetMode="External" Id="R05f214dbb3734015" /><Relationship Type="http://schemas.openxmlformats.org/officeDocument/2006/relationships/hyperlink" Target="https://meteor.aihw.gov.au/content/758429" TargetMode="External" Id="Rd22938fe41924ef2" /><Relationship Type="http://schemas.openxmlformats.org/officeDocument/2006/relationships/hyperlink" Target="https://meteor.aihw.gov.au/content/758171" TargetMode="External" Id="Rc1fe32d8f51b4a91" /><Relationship Type="http://schemas.openxmlformats.org/officeDocument/2006/relationships/hyperlink" Target="https://meteor.aihw.gov.au/content/758176" TargetMode="External" Id="R4b0eb08c20504ef1" /><Relationship Type="http://schemas.openxmlformats.org/officeDocument/2006/relationships/hyperlink" Target="https://meteor.aihw.gov.au/content/758186" TargetMode="External" Id="Rd847ecab2c644b3a" /><Relationship Type="http://schemas.openxmlformats.org/officeDocument/2006/relationships/hyperlink" Target="https://meteor.aihw.gov.au/content/758195" TargetMode="External" Id="Rb6d0c8b2ee7a4b50" /><Relationship Type="http://schemas.openxmlformats.org/officeDocument/2006/relationships/hyperlink" Target="https://meteor.aihw.gov.au/content/758291" TargetMode="External" Id="R67f3ad60433e4f1c" /><Relationship Type="http://schemas.openxmlformats.org/officeDocument/2006/relationships/hyperlink" Target="https://meteor.aihw.gov.au/content/758212" TargetMode="External" Id="R1343a2fb35dc435c" /><Relationship Type="http://schemas.openxmlformats.org/officeDocument/2006/relationships/hyperlink" Target="https://meteor.aihw.gov.au/content/758422" TargetMode="External" Id="R0921e936b2c04d05" /><Relationship Type="http://schemas.openxmlformats.org/officeDocument/2006/relationships/hyperlink" Target="https://meteor.aihw.gov.au/content/758431" TargetMode="External" Id="R7f69644ed55b462d" /><Relationship Type="http://schemas.openxmlformats.org/officeDocument/2006/relationships/hyperlink" Target="https://meteor.aihw.gov.au/content/758324" TargetMode="External" Id="R094297c5349e48a7" /><Relationship Type="http://schemas.openxmlformats.org/officeDocument/2006/relationships/hyperlink" Target="https://meteor.aihw.gov.au/content/758344" TargetMode="External" Id="Ra1278c005d06449d" /><Relationship Type="http://schemas.openxmlformats.org/officeDocument/2006/relationships/hyperlink" Target="https://meteor.aihw.gov.au/content/758355" TargetMode="External" Id="R6aee9da442604d7c" /><Relationship Type="http://schemas.openxmlformats.org/officeDocument/2006/relationships/hyperlink" Target="https://meteor.aihw.gov.au/content/758314" TargetMode="External" Id="Rcc6c2c4f60c84aab" /><Relationship Type="http://schemas.openxmlformats.org/officeDocument/2006/relationships/hyperlink" Target="https://meteor.aihw.gov.au/content/758335" TargetMode="External" Id="R36110aa67b094111" /><Relationship Type="http://schemas.openxmlformats.org/officeDocument/2006/relationships/hyperlink" Target="https://meteor.aihw.gov.au/content/758398" TargetMode="External" Id="R25ac6c7133da4aaa" /><Relationship Type="http://schemas.openxmlformats.org/officeDocument/2006/relationships/hyperlink" Target="https://meteor.aihw.gov.au/content/758363" TargetMode="External" Id="R2692eed1096240ee" /><Relationship Type="http://schemas.openxmlformats.org/officeDocument/2006/relationships/hyperlink" Target="https://meteor.aihw.gov.au/content/758384" TargetMode="External" Id="Rd611af72b9974009" /></Relationships>
</file>

<file path=word/_rels/header1.xml.rels>&#65279;<?xml version="1.0" encoding="utf-8"?><Relationships xmlns="http://schemas.openxmlformats.org/package/2006/relationships"><Relationship Type="http://schemas.openxmlformats.org/officeDocument/2006/relationships/image" Target="/media/image.png" Id="R966619d129c54a56" /></Relationships>
</file>