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d93d1d09a948d4" /></Relationships>
</file>

<file path=word/document.xml><?xml version="1.0" encoding="utf-8"?>
<w:document xmlns:r="http://schemas.openxmlformats.org/officeDocument/2006/relationships" xmlns:w="http://schemas.openxmlformats.org/wordprocessingml/2006/main">
  <w:body>
    <w:p>
      <w:pPr>
        <w:pStyle w:val="Title"/>
      </w:pPr>
      <w:r>
        <w:t>Person—commencing student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Person—commencing student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Commencing student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a175003d2e4ca2">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starting a course of study,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3c19888af64ad4">
              <w:r>
                <w:rPr>
                  <w:rStyle w:val="Hyperlink"/>
                </w:rPr>
                <w:t xml:space="preserve">Person—commencing student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b97f42bcfc45f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Refers to an individual/person that is commencing a course of study.</w:t>
            </w:r>
          </w:p>
          <w:p>
            <w:pPr>
              <w:spacing w:after="160"/>
            </w:pPr>
            <w:r>
              <w:rPr>
                <w:rStyle w:val="row-content-rich-text"/>
              </w:rPr>
              <w:t xml:space="preserve">CODE 2   No</w:t>
            </w:r>
          </w:p>
          <w:p>
            <w:pPr>
              <w:spacing w:after="160"/>
            </w:pPr>
            <w:r>
              <w:rPr>
                <w:rStyle w:val="row-content-rich-text"/>
              </w:rPr>
              <w:t xml:space="preserve">Refers to an individual/person that is not commencing a course of study.</w:t>
            </w:r>
          </w:p>
          <w:p>
            <w:pPr>
              <w:spacing w:after="160"/>
            </w:pPr>
            <w:r>
              <w:rPr>
                <w:rStyle w:val="row-content-rich-text"/>
              </w:rPr>
              <w:t xml:space="preserve">A student is classified as a commencing student in relation to a particular course of study. A student is a commencing student for a year if she/he started studying in a course of study for the first time at the higher education provider or an antecedent higher education provider in that year. An antecedent higher education provider means a higher education provider which has merged with the higher education provider at which the student's enrolment continues.</w:t>
            </w:r>
          </w:p>
          <w:p>
            <w:pPr>
              <w:spacing w:after="160"/>
            </w:pPr>
            <w:r>
              <w:rPr>
                <w:rStyle w:val="row-content-rich-text"/>
              </w:rPr>
              <w:t xml:space="preserve">Students of the following types are not to be classified as commencing students:</w:t>
            </w:r>
          </w:p>
          <w:p>
            <w:pPr>
              <w:pStyle w:val="ListParagraph"/>
              <w:numPr>
                <w:ilvl w:val="0"/>
                <w:numId w:val="2"/>
              </w:numPr>
            </w:pPr>
            <w:r>
              <w:rPr>
                <w:rStyle w:val="row-content-rich-text"/>
              </w:rPr>
              <w:t xml:space="preserve">students who are starting a specialised program of studies after completing, at the institution or an antecedent institution, a common initial year or years of a general program;</w:t>
            </w:r>
          </w:p>
          <w:p>
            <w:pPr>
              <w:pStyle w:val="ListParagraph"/>
              <w:numPr>
                <w:ilvl w:val="0"/>
                <w:numId w:val="2"/>
              </w:numPr>
            </w:pPr>
            <w:r>
              <w:rPr>
                <w:rStyle w:val="row-content-rich-text"/>
              </w:rPr>
              <w:t xml:space="preserve">students who, having completed an initial year of study at the institution or an antecedent institution then exercise a standard option of continuing their studies but at a lower level (i.e., their studies would then lead to an award at a level lower than that which pertains to the program of studies undertaken in the first year);</w:t>
            </w:r>
          </w:p>
          <w:p>
            <w:pPr>
              <w:pStyle w:val="ListParagraph"/>
              <w:numPr>
                <w:ilvl w:val="0"/>
                <w:numId w:val="2"/>
              </w:numPr>
            </w:pPr>
            <w:r>
              <w:rPr>
                <w:rStyle w:val="row-content-rich-text"/>
              </w:rPr>
              <w:t xml:space="preserve">students who move from course to course within a course of study;</w:t>
            </w:r>
          </w:p>
          <w:p>
            <w:pPr>
              <w:pStyle w:val="ListParagraph"/>
              <w:numPr>
                <w:ilvl w:val="0"/>
                <w:numId w:val="2"/>
              </w:numPr>
            </w:pPr>
            <w:r>
              <w:rPr>
                <w:rStyle w:val="row-content-rich-text"/>
              </w:rPr>
              <w:t xml:space="preserve">students who transfer to a bachelor's honours course of study having previously been enrolled, at the higher education provider or an antecedent higher education provider, in the related bachelor's pass course of study;</w:t>
            </w:r>
          </w:p>
          <w:p>
            <w:pPr>
              <w:pStyle w:val="ListParagraph"/>
              <w:numPr>
                <w:ilvl w:val="0"/>
                <w:numId w:val="2"/>
              </w:numPr>
            </w:pPr>
            <w:r>
              <w:rPr>
                <w:rStyle w:val="row-content-rich-text"/>
              </w:rPr>
              <w:t xml:space="preserve">students who transfer to a master's honours course of study having previously been enrolled, at the higher education provider or an antecedent higher education provider, in the related master's pass course;</w:t>
            </w:r>
          </w:p>
          <w:p>
            <w:pPr>
              <w:pStyle w:val="ListParagraph"/>
              <w:numPr>
                <w:ilvl w:val="0"/>
                <w:numId w:val="2"/>
              </w:numPr>
            </w:pPr>
            <w:r>
              <w:rPr>
                <w:rStyle w:val="row-content-rich-text"/>
              </w:rPr>
              <w:t xml:space="preserve">students who are enrolled in a course of study at the higher education provider or an antecedent higher education provider which is upgraded in level or renamed;</w:t>
            </w:r>
          </w:p>
          <w:p>
            <w:pPr>
              <w:pStyle w:val="ListParagraph"/>
              <w:numPr>
                <w:ilvl w:val="0"/>
                <w:numId w:val="2"/>
              </w:numPr>
            </w:pPr>
            <w:r>
              <w:rPr>
                <w:rStyle w:val="row-content-rich-text"/>
              </w:rPr>
              <w:t xml:space="preserve">students who are resuming the same course at the higher education provider or an antecedent higher education provider after an absence;</w:t>
            </w:r>
          </w:p>
          <w:p>
            <w:pPr>
              <w:pStyle w:val="ListParagraph"/>
              <w:numPr>
                <w:ilvl w:val="0"/>
                <w:numId w:val="2"/>
              </w:numPr>
            </w:pPr>
            <w:r>
              <w:rPr>
                <w:rStyle w:val="row-content-rich-text"/>
              </w:rPr>
              <w:t xml:space="preserve">students continuing from the first component of a combined course to the second or later components;</w:t>
            </w:r>
          </w:p>
          <w:p>
            <w:pPr>
              <w:pStyle w:val="ListParagraph"/>
              <w:numPr>
                <w:ilvl w:val="0"/>
                <w:numId w:val="2"/>
              </w:numPr>
            </w:pPr>
            <w:r>
              <w:rPr>
                <w:rStyle w:val="row-content-rich-text"/>
              </w:rPr>
              <w:t xml:space="preserve">students resuming a combined course which normally leads to a single award after having been conceded an award for another course of study;</w:t>
            </w:r>
          </w:p>
          <w:p>
            <w:pPr>
              <w:pStyle w:val="ListParagraph"/>
              <w:numPr>
                <w:ilvl w:val="0"/>
                <w:numId w:val="2"/>
              </w:numPr>
            </w:pPr>
            <w:r>
              <w:rPr>
                <w:rStyle w:val="row-content-rich-text"/>
              </w:rPr>
              <w:t xml:space="preserve">students who have completed part of the requirements of a combined course of study at the institution and then change their enrolment to one of the components of that combined course of study;</w:t>
            </w:r>
          </w:p>
          <w:p>
            <w:pPr>
              <w:pStyle w:val="ListParagraph"/>
              <w:numPr>
                <w:ilvl w:val="0"/>
                <w:numId w:val="2"/>
              </w:numPr>
            </w:pPr>
            <w:r>
              <w:rPr>
                <w:rStyle w:val="row-content-rich-text"/>
              </w:rPr>
              <w:t xml:space="preserve">students who have completed part of the requirements of a unitary course of study at the institution and then change their enrolment to a related combined course of study which leads to an award or awards that subsume the award applicable to the unitary course of study; or</w:t>
            </w:r>
          </w:p>
          <w:p>
            <w:pPr>
              <w:pStyle w:val="ListParagraph"/>
              <w:numPr>
                <w:ilvl w:val="0"/>
                <w:numId w:val="2"/>
              </w:numPr>
            </w:pPr>
            <w:r>
              <w:rPr>
                <w:rStyle w:val="row-content-rich-text"/>
              </w:rPr>
              <w:t xml:space="preserve">students who transfer within the higher education provider from one course strain to another course strain, where the course leads to the same award. (e.g., a student who changes from a BSc (Chemistry) to a BSc (Physics)).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element is not used in files provided to the Dept. of Education by universities; it is a "derived" element using </w:t>
            </w:r>
            <w:hyperlink w:history="true" r:id="R664eefbdc88f44ea">
              <w:r>
                <w:rPr>
                  <w:rStyle w:val="Hyperlink"/>
                </w:rPr>
                <w:t xml:space="preserve">Course of study commencement date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Commencing Student Indicator, Canberra. Viewed 10 August 2022.</w:t>
            </w:r>
            <w:hyperlink w:history="true" r:id="R4f7132d4ad07438c">
              <w:r>
                <w:rPr>
                  <w:rStyle w:val="Hyperlink"/>
                </w:rPr>
                <w:t xml:space="preserve">www.tcsisupport.gov.au/element/922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42eade5638435d">
              <w:r>
                <w:rPr>
                  <w:rStyle w:val="Hyperlink"/>
                </w:rPr>
                <w:t xml:space="preserve">Initial Teacher Education (ITE) data cluster</w:t>
              </w:r>
            </w:hyperlink>
          </w:p>
          <w:p>
            <w:pPr>
              <w:spacing w:before="0" w:after="0"/>
            </w:pPr>
            <w:r>
              <w:rPr>
                <w:rStyle w:val="row-content"/>
                <w:color w:val="244061"/>
              </w:rPr>
              <w:t xml:space="preserve">       </w:t>
            </w:r>
            <w:hyperlink w:history="true" r:id="R4ae4b6e8625a43de">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a6037140c8ac49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758221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3f0b152c794e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037140c8ac4976" /><Relationship Type="http://schemas.openxmlformats.org/officeDocument/2006/relationships/header" Target="/word/header1.xml" Id="R366b90a254884581" /><Relationship Type="http://schemas.openxmlformats.org/officeDocument/2006/relationships/settings" Target="/word/settings.xml" Id="R80e5dcff55604027" /><Relationship Type="http://schemas.openxmlformats.org/officeDocument/2006/relationships/styles" Target="/word/styles.xml" Id="R3f69ecd3a34f4ef1" /><Relationship Type="http://schemas.openxmlformats.org/officeDocument/2006/relationships/hyperlink" Target="https://meteor.aihw.gov.au/RegistrationAuthority/23" TargetMode="External" Id="R88a175003d2e4ca2" /><Relationship Type="http://schemas.openxmlformats.org/officeDocument/2006/relationships/hyperlink" Target="https://meteor.aihw.gov.au/content/758219" TargetMode="External" Id="Rdc3c19888af64ad4" /><Relationship Type="http://schemas.openxmlformats.org/officeDocument/2006/relationships/hyperlink" Target="https://meteor.aihw.gov.au/content/270732" TargetMode="External" Id="R53b97f42bcfc45f0" /><Relationship Type="http://schemas.openxmlformats.org/officeDocument/2006/relationships/numbering" Target="/word/numbering.xml" Id="R08d5740de8984fc3" /><Relationship Type="http://schemas.openxmlformats.org/officeDocument/2006/relationships/hyperlink" Target="https://www.tcsisupport.gov.au/element/534" TargetMode="External" Id="R664eefbdc88f44ea" /><Relationship Type="http://schemas.openxmlformats.org/officeDocument/2006/relationships/hyperlink" Target="https://www.tcsisupport.gov.au/element/922" TargetMode="External" Id="R4f7132d4ad07438c" /><Relationship Type="http://schemas.openxmlformats.org/officeDocument/2006/relationships/hyperlink" Target="https://meteor.aihw.gov.au/content/758462" TargetMode="External" Id="R3b42eade5638435d" /><Relationship Type="http://schemas.openxmlformats.org/officeDocument/2006/relationships/hyperlink" Target="https://meteor.aihw.gov.au/RegistrationAuthority/23" TargetMode="External" Id="R4ae4b6e8625a43de" /></Relationships>
</file>

<file path=word/_rels/header1.xml.rels>&#65279;<?xml version="1.0" encoding="utf-8"?><Relationships xmlns="http://schemas.openxmlformats.org/package/2006/relationships"><Relationship Type="http://schemas.openxmlformats.org/officeDocument/2006/relationships/image" Target="/media/image.png" Id="Rf73f0b152c794e89" /></Relationships>
</file>