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62a08f94c2849a1" /></Relationships>
</file>

<file path=word/document.xml><?xml version="1.0" encoding="utf-8"?>
<w:document xmlns:r="http://schemas.openxmlformats.org/officeDocument/2006/relationships" xmlns:w="http://schemas.openxmlformats.org/wordprocessingml/2006/main">
  <w:body>
    <w:p>
      <w:pPr>
        <w:pStyle w:val="Title"/>
      </w:pPr>
      <w:r>
        <w:t>Course of study—course type, higher and vocational education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Course of study—course type, higher and vocational education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Higher and vocational education course type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758186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305b7c53c2044fe">
              <w:r>
                <w:rPr>
                  <w:rStyle w:val="Hyperlink"/>
                  <w:color w:val="244061"/>
                </w:rPr>
                <w:t xml:space="preserve">Australian Teacher Workforce Data Oversight Board</w:t>
              </w:r>
            </w:hyperlink>
            <w:r>
              <w:rPr>
                <w:rStyle w:val="row-content"/>
                <w:color w:val="244061"/>
              </w:rPr>
              <w:t xml:space="preserve">, Standard 30/08/2022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higher education or vocational education and training (VET) course of study, as specified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3d3c2204b1d4236">
              <w:r>
                <w:rPr>
                  <w:rStyle w:val="Hyperlink"/>
                </w:rPr>
                <w:t xml:space="preserve">Course of study—course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c16a509988a44de">
              <w:r>
                <w:rPr>
                  <w:rStyle w:val="Hyperlink"/>
                </w:rPr>
                <w:t xml:space="preserve">Higher and vocational education course type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01</w:t>
            </w:r>
          </w:p>
        </w:tc>
        <w:tc>
          <w:tcPr>
            <w:tcBorders>
              <w:top w:val="none" w:color="000000" w:sz="0"/>
              <w:left w:val="none" w:color="000000" w:sz="0"/>
              <w:bottom w:val="none" w:color="000000" w:sz="0"/>
              <w:right w:val="none" w:color="000000" w:sz="0"/>
            </w:tcBorders>
            <w:vAlign w:val="top"/>
          </w:tcPr>
          <w:p>
            <w:r>
              <w:t xml:space="preserve">Higher Doctorate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w:t>
            </w:r>
          </w:p>
        </w:tc>
        <w:tc>
          <w:tcPr>
            <w:tcBorders>
              <w:top w:val="none" w:color="000000" w:sz="0"/>
              <w:left w:val="none" w:color="000000" w:sz="0"/>
              <w:bottom w:val="none" w:color="000000" w:sz="0"/>
              <w:right w:val="none" w:color="000000" w:sz="0"/>
            </w:tcBorders>
            <w:vAlign w:val="top"/>
          </w:tcPr>
          <w:p>
            <w:r>
              <w:t xml:space="preserve">Doctorate by research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w:t>
            </w:r>
          </w:p>
        </w:tc>
        <w:tc>
          <w:tcPr>
            <w:tcBorders>
              <w:top w:val="none" w:color="000000" w:sz="0"/>
              <w:left w:val="none" w:color="000000" w:sz="0"/>
              <w:bottom w:val="none" w:color="000000" w:sz="0"/>
              <w:right w:val="none" w:color="000000" w:sz="0"/>
            </w:tcBorders>
            <w:vAlign w:val="top"/>
          </w:tcPr>
          <w:p>
            <w:r>
              <w:t xml:space="preserve">Masters (Research)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w:t>
            </w:r>
          </w:p>
        </w:tc>
        <w:tc>
          <w:tcPr>
            <w:tcBorders>
              <w:top w:val="none" w:color="000000" w:sz="0"/>
              <w:left w:val="none" w:color="000000" w:sz="0"/>
              <w:bottom w:val="none" w:color="000000" w:sz="0"/>
              <w:right w:val="none" w:color="000000" w:sz="0"/>
            </w:tcBorders>
            <w:vAlign w:val="top"/>
          </w:tcPr>
          <w:p>
            <w:r>
              <w:t xml:space="preserve">Masters (Coursework)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w:t>
            </w:r>
          </w:p>
        </w:tc>
        <w:tc>
          <w:tcPr>
            <w:tcBorders>
              <w:top w:val="none" w:color="000000" w:sz="0"/>
              <w:left w:val="none" w:color="000000" w:sz="0"/>
              <w:bottom w:val="none" w:color="000000" w:sz="0"/>
              <w:right w:val="none" w:color="000000" w:sz="0"/>
            </w:tcBorders>
            <w:vAlign w:val="top"/>
          </w:tcPr>
          <w:p>
            <w:r>
              <w:t xml:space="preserve">Postgraduate Qualifying or Preliminary (for Master's, Doctorate or Higher Doctorate)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w:t>
            </w:r>
          </w:p>
        </w:tc>
        <w:tc>
          <w:tcPr>
            <w:tcBorders>
              <w:top w:val="none" w:color="000000" w:sz="0"/>
              <w:left w:val="none" w:color="000000" w:sz="0"/>
              <w:bottom w:val="none" w:color="000000" w:sz="0"/>
              <w:right w:val="none" w:color="000000" w:sz="0"/>
            </w:tcBorders>
            <w:vAlign w:val="top"/>
          </w:tcPr>
          <w:p>
            <w:r>
              <w:t xml:space="preserve">Graduate Diploma/ Postgraduate Diploma (pass or honours) involving new academic, professional or vocational area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w:t>
            </w:r>
          </w:p>
        </w:tc>
        <w:tc>
          <w:tcPr>
            <w:tcBorders>
              <w:top w:val="none" w:color="000000" w:sz="0"/>
              <w:left w:val="none" w:color="000000" w:sz="0"/>
              <w:bottom w:val="none" w:color="000000" w:sz="0"/>
              <w:right w:val="none" w:color="000000" w:sz="0"/>
            </w:tcBorders>
            <w:vAlign w:val="top"/>
          </w:tcPr>
          <w:p>
            <w:r>
              <w:t xml:space="preserve">Graduate Diploma/ Postgraduate Diploma (pass or honours) extending skills and knowledge in a professional area previously studied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08</w:t>
            </w:r>
          </w:p>
        </w:tc>
        <w:tc>
          <w:tcPr>
            <w:tcBorders>
              <w:top w:val="none" w:color="000000" w:sz="0"/>
              <w:left w:val="none" w:color="000000" w:sz="0"/>
              <w:bottom w:val="none" w:color="000000" w:sz="0"/>
              <w:right w:val="none" w:color="000000" w:sz="0"/>
            </w:tcBorders>
            <w:vAlign w:val="top"/>
          </w:tcPr>
          <w:p>
            <w:r>
              <w:t xml:space="preserve">Bachelors Graduate Entry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09</w:t>
            </w:r>
          </w:p>
        </w:tc>
        <w:tc>
          <w:tcPr>
            <w:tcBorders>
              <w:top w:val="none" w:color="000000" w:sz="0"/>
              <w:left w:val="none" w:color="000000" w:sz="0"/>
              <w:bottom w:val="none" w:color="000000" w:sz="0"/>
              <w:right w:val="none" w:color="000000" w:sz="0"/>
            </w:tcBorders>
            <w:vAlign w:val="top"/>
          </w:tcPr>
          <w:p>
            <w:r>
              <w:t xml:space="preserve">Bachelors Honours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Bachelors Pass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Graduate Certificate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Doctorate by coursework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Associate degree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Masters (Extended)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w:t>
            </w:r>
          </w:p>
        </w:tc>
        <w:tc>
          <w:tcPr>
            <w:tcBorders>
              <w:top w:val="none" w:color="000000" w:sz="0"/>
              <w:left w:val="none" w:color="000000" w:sz="0"/>
              <w:bottom w:val="none" w:color="000000" w:sz="0"/>
              <w:right w:val="none" w:color="000000" w:sz="0"/>
            </w:tcBorders>
            <w:vAlign w:val="top"/>
          </w:tcPr>
          <w:p>
            <w:r>
              <w:t xml:space="preserve">Advanced Diploma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w:t>
            </w:r>
          </w:p>
        </w:tc>
        <w:tc>
          <w:tcPr>
            <w:tcBorders>
              <w:top w:val="none" w:color="000000" w:sz="0"/>
              <w:left w:val="none" w:color="000000" w:sz="0"/>
              <w:bottom w:val="none" w:color="000000" w:sz="0"/>
              <w:right w:val="none" w:color="000000" w:sz="0"/>
            </w:tcBorders>
            <w:vAlign w:val="top"/>
          </w:tcPr>
          <w:p>
            <w:r>
              <w:t xml:space="preserve">Diploma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w:t>
            </w:r>
          </w:p>
        </w:tc>
        <w:tc>
          <w:tcPr>
            <w:tcBorders>
              <w:top w:val="none" w:color="000000" w:sz="0"/>
              <w:left w:val="none" w:color="000000" w:sz="0"/>
              <w:bottom w:val="none" w:color="000000" w:sz="0"/>
              <w:right w:val="none" w:color="000000" w:sz="0"/>
            </w:tcBorders>
            <w:vAlign w:val="top"/>
          </w:tcPr>
          <w:p>
            <w:r>
              <w:t xml:space="preserve">Other undergraduate award course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w:t>
            </w:r>
          </w:p>
        </w:tc>
        <w:tc>
          <w:tcPr>
            <w:tcBorders>
              <w:top w:val="none" w:color="000000" w:sz="0"/>
              <w:left w:val="none" w:color="000000" w:sz="0"/>
              <w:bottom w:val="none" w:color="000000" w:sz="0"/>
              <w:right w:val="none" w:color="000000" w:sz="0"/>
            </w:tcBorders>
            <w:vAlign w:val="top"/>
          </w:tcPr>
          <w:p>
            <w:r>
              <w:t xml:space="preserve">Undergraduate short course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30</w:t>
            </w:r>
          </w:p>
        </w:tc>
        <w:tc>
          <w:tcPr>
            <w:tcBorders>
              <w:top w:val="none" w:color="000000" w:sz="0"/>
              <w:left w:val="none" w:color="000000" w:sz="0"/>
              <w:bottom w:val="none" w:color="000000" w:sz="0"/>
              <w:right w:val="none" w:color="000000" w:sz="0"/>
            </w:tcBorders>
            <w:vAlign w:val="top"/>
          </w:tcPr>
          <w:p>
            <w:r>
              <w:t xml:space="preserve">Enabling course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41</w:t>
            </w:r>
          </w:p>
        </w:tc>
        <w:tc>
          <w:tcPr>
            <w:tcBorders>
              <w:top w:val="none" w:color="000000" w:sz="0"/>
              <w:left w:val="none" w:color="000000" w:sz="0"/>
              <w:bottom w:val="none" w:color="000000" w:sz="0"/>
              <w:right w:val="none" w:color="000000" w:sz="0"/>
            </w:tcBorders>
            <w:vAlign w:val="top"/>
          </w:tcPr>
          <w:p>
            <w:r>
              <w:t xml:space="preserve">Cross Institutional program for undergraduate courses at home Higher Education Provider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42</w:t>
            </w:r>
          </w:p>
        </w:tc>
        <w:tc>
          <w:tcPr>
            <w:tcBorders>
              <w:top w:val="none" w:color="000000" w:sz="0"/>
              <w:left w:val="none" w:color="000000" w:sz="0"/>
              <w:bottom w:val="none" w:color="000000" w:sz="0"/>
              <w:right w:val="none" w:color="000000" w:sz="0"/>
            </w:tcBorders>
            <w:vAlign w:val="top"/>
          </w:tcPr>
          <w:p>
            <w:r>
              <w:t xml:space="preserve">Cross Institutional program for postgraduate courses at home Higher Education Provider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50</w:t>
            </w:r>
          </w:p>
        </w:tc>
        <w:tc>
          <w:tcPr>
            <w:tcBorders>
              <w:top w:val="none" w:color="000000" w:sz="0"/>
              <w:left w:val="none" w:color="000000" w:sz="0"/>
              <w:bottom w:val="none" w:color="000000" w:sz="0"/>
              <w:right w:val="none" w:color="000000" w:sz="0"/>
            </w:tcBorders>
            <w:vAlign w:val="top"/>
          </w:tcPr>
          <w:p>
            <w:r>
              <w:t xml:space="preserve">on-award course (including Bridging for overseas trained professionals)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60</w:t>
            </w:r>
          </w:p>
        </w:tc>
        <w:tc>
          <w:tcPr>
            <w:tcBorders>
              <w:top w:val="none" w:color="000000" w:sz="0"/>
              <w:left w:val="none" w:color="000000" w:sz="0"/>
              <w:bottom w:val="none" w:color="000000" w:sz="0"/>
              <w:right w:val="none" w:color="000000" w:sz="0"/>
            </w:tcBorders>
            <w:vAlign w:val="top"/>
          </w:tcPr>
          <w:p>
            <w:r>
              <w:t xml:space="preserve">Open Universities Australia undergraduate studies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61</w:t>
            </w:r>
          </w:p>
        </w:tc>
        <w:tc>
          <w:tcPr>
            <w:tcBorders>
              <w:top w:val="none" w:color="000000" w:sz="0"/>
              <w:left w:val="none" w:color="000000" w:sz="0"/>
              <w:bottom w:val="none" w:color="000000" w:sz="0"/>
              <w:right w:val="none" w:color="000000" w:sz="0"/>
            </w:tcBorders>
            <w:vAlign w:val="top"/>
          </w:tcPr>
          <w:p>
            <w:r>
              <w:t xml:space="preserve">Open Universities Australia postgraduate studies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80</w:t>
            </w:r>
          </w:p>
        </w:tc>
        <w:tc>
          <w:tcPr>
            <w:tcBorders>
              <w:top w:val="none" w:color="000000" w:sz="0"/>
              <w:left w:val="none" w:color="000000" w:sz="0"/>
              <w:bottom w:val="none" w:color="000000" w:sz="0"/>
              <w:right w:val="none" w:color="000000" w:sz="0"/>
            </w:tcBorders>
            <w:vAlign w:val="top"/>
          </w:tcPr>
          <w:p>
            <w:r>
              <w:t xml:space="preserve">VET Graduate Certificate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81</w:t>
            </w:r>
            <w:r>
              <w:br/>
            </w:r>
            <w:r>
              <w:t xml:space="preserve"> </w:t>
            </w:r>
          </w:p>
        </w:tc>
        <w:tc>
          <w:tcPr>
            <w:tcBorders>
              <w:top w:val="none" w:color="000000" w:sz="0"/>
              <w:left w:val="none" w:color="000000" w:sz="0"/>
              <w:bottom w:val="none" w:color="000000" w:sz="0"/>
              <w:right w:val="none" w:color="000000" w:sz="0"/>
            </w:tcBorders>
            <w:vAlign w:val="top"/>
          </w:tcPr>
          <w:p>
            <w:r>
              <w:t xml:space="preserve">VET Graduate Diploma</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Higher Education only</w:t>
            </w:r>
          </w:p>
          <w:p>
            <w:pPr>
              <w:spacing w:after="160"/>
            </w:pPr>
            <w:r>
              <w:rPr>
                <w:rStyle w:val="row-content-rich-text"/>
              </w:rPr>
              <w:t xml:space="preserve">Post‑course legal studies programs which do not lead to an award of the higher education provider are coded as 22 (other undergraduate award course).</w:t>
            </w:r>
          </w:p>
          <w:p>
            <w:pPr>
              <w:spacing w:after="160"/>
            </w:pPr>
            <w:r>
              <w:rPr>
                <w:rStyle w:val="row-content-rich-text"/>
              </w:rPr>
              <w:t xml:space="preserve">Preparatory courses being undertaken by fee‑paying overseas students are coded as 22 (other undergraduate award course).</w:t>
            </w:r>
          </w:p>
          <w:p>
            <w:pPr>
              <w:spacing w:after="160"/>
            </w:pPr>
            <w:r>
              <w:rPr>
                <w:rStyle w:val="row-content-rich-text"/>
              </w:rPr>
              <w:t xml:space="preserve">Codes 60 and 61 are for Open Universities Australia (OUA) only.</w:t>
            </w:r>
          </w:p>
          <w:p>
            <w:pPr>
              <w:spacing w:after="160"/>
            </w:pPr>
            <w:r>
              <w:rPr>
                <w:rStyle w:val="row-content-rich-text"/>
              </w:rPr>
              <w:t xml:space="preserve">For the Dept. of Education's coding purposes, Higher Doctorates include those awards, which are granted in recognition of original work that was not conducted as part of a supervised candidature within the higher education provider.</w:t>
            </w:r>
          </w:p>
          <w:p>
            <w:pPr>
              <w:spacing w:after="160"/>
            </w:pPr>
            <w:r>
              <w:rPr>
                <w:rStyle w:val="row-content-rich-text"/>
                <w:b/>
              </w:rPr>
              <w:t xml:space="preserve">VET</w:t>
            </w:r>
          </w:p>
          <w:p>
            <w:pPr/>
            <w:r>
              <w:rPr>
                <w:rStyle w:val="row-content-rich-text"/>
              </w:rPr>
              <w:t xml:space="preserve">Course of study type is not reported by VET providers.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Government 2021. Tertiary collection of student information: Course of study type, Canberra. Viewed 10 August 2022. </w:t>
            </w:r>
            <w:hyperlink w:history="true" r:id="R77794907e8d44da9">
              <w:r>
                <w:rPr>
                  <w:rStyle w:val="Hyperlink"/>
                </w:rPr>
                <w:t xml:space="preserve">www​.tcsisupport​.gov​.au​/element​/310</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Government 2021. Tertiary collection of student information: Course of study type, Canberra. Viewed 10 August 2022. </w:t>
            </w:r>
            <w:hyperlink w:history="true" r:id="Rd48e06672d1c480a">
              <w:r>
                <w:rPr>
                  <w:rStyle w:val="Hyperlink"/>
                </w:rPr>
                <w:t xml:space="preserve">www.tcsisupport.gov.au/element/310</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6b6c2296cb4499e">
              <w:r>
                <w:rPr>
                  <w:rStyle w:val="Hyperlink"/>
                </w:rPr>
                <w:t xml:space="preserve">Course of study components cluster</w:t>
              </w:r>
            </w:hyperlink>
          </w:p>
          <w:p>
            <w:pPr>
              <w:spacing w:before="0" w:after="0"/>
            </w:pPr>
            <w:r>
              <w:rPr>
                <w:rStyle w:val="row-content"/>
                <w:color w:val="244061"/>
              </w:rPr>
              <w:t xml:space="preserve">       </w:t>
            </w:r>
            <w:hyperlink w:history="true" r:id="Rdc9d60316f074f78">
              <w:r>
                <w:rPr>
                  <w:rStyle w:val="Hyperlink"/>
                  <w:color w:val="244061"/>
                </w:rPr>
                <w:t xml:space="preserve">Australian Teacher Workforce Data Oversight Board</w:t>
              </w:r>
            </w:hyperlink>
            <w:r>
              <w:rPr>
                <w:rStyle w:val="row-content"/>
                <w:color w:val="244061"/>
              </w:rPr>
              <w:t xml:space="preserve">, Standard 30/08/2022</w:t>
            </w:r>
          </w:p>
          <w:p>
            <w:r>
              <w:br/>
            </w:r>
          </w:p>
        </w:tc>
      </w:tr>
    </w:tbl>
    <w:p/>
    <w:tbl>
      <w:tblPr>
        <w:tblStyle w:val="TableGrid"/>
        <w:tblW w:w="0" w:type="auto"/>
      </w:tblPr>
    </w:tbl>
    <w:p>
      <w:r>
        <w:br/>
      </w:r>
    </w:p>
    <w:sectPr>
      <w:footerReference xmlns:r="http://schemas.openxmlformats.org/officeDocument/2006/relationships" w:type="default" r:id="R3492ab722dd5494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758186</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9d9800fb1784c0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492ab722dd54944" /><Relationship Type="http://schemas.openxmlformats.org/officeDocument/2006/relationships/header" Target="/word/header1.xml" Id="Rfeb9781d84864aea" /><Relationship Type="http://schemas.openxmlformats.org/officeDocument/2006/relationships/settings" Target="/word/settings.xml" Id="R21f392046d954276" /><Relationship Type="http://schemas.openxmlformats.org/officeDocument/2006/relationships/styles" Target="/word/styles.xml" Id="Ra22c0054d01e41e0" /><Relationship Type="http://schemas.openxmlformats.org/officeDocument/2006/relationships/hyperlink" Target="https://meteor.aihw.gov.au/RegistrationAuthority/23" TargetMode="External" Id="Rd305b7c53c2044fe" /><Relationship Type="http://schemas.openxmlformats.org/officeDocument/2006/relationships/hyperlink" Target="https://meteor.aihw.gov.au/content/758184" TargetMode="External" Id="R43d3c2204b1d4236" /><Relationship Type="http://schemas.openxmlformats.org/officeDocument/2006/relationships/hyperlink" Target="https://meteor.aihw.gov.au/content/758180" TargetMode="External" Id="Rdc16a509988a44de" /><Relationship Type="http://schemas.openxmlformats.org/officeDocument/2006/relationships/hyperlink" Target="https://www.tcsisupport.gov.au/element/310" TargetMode="External" Id="R77794907e8d44da9" /><Relationship Type="http://schemas.openxmlformats.org/officeDocument/2006/relationships/hyperlink" Target="https://www.tcsisupport.gov.au/element/310" TargetMode="External" Id="Rd48e06672d1c480a" /><Relationship Type="http://schemas.openxmlformats.org/officeDocument/2006/relationships/hyperlink" Target="https://meteor.aihw.gov.au/content/758429" TargetMode="External" Id="R66b6c2296cb4499e" /><Relationship Type="http://schemas.openxmlformats.org/officeDocument/2006/relationships/hyperlink" Target="https://meteor.aihw.gov.au/RegistrationAuthority/23" TargetMode="External" Id="Rdc9d60316f074f78" /></Relationships>
</file>

<file path=word/_rels/header1.xml.rels>&#65279;<?xml version="1.0" encoding="utf-8"?><Relationships xmlns="http://schemas.openxmlformats.org/package/2006/relationships"><Relationship Type="http://schemas.openxmlformats.org/officeDocument/2006/relationships/image" Target="/media/image.png" Id="Rc9d9800fb1784c0c" /></Relationships>
</file>