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bfcc93f0e4c4b20" /></Relationships>
</file>

<file path=word/document.xml><?xml version="1.0" encoding="utf-8"?>
<w:document xmlns:r="http://schemas.openxmlformats.org/officeDocument/2006/relationships" xmlns:w="http://schemas.openxmlformats.org/wordprocessingml/2006/main">
  <w:body>
    <w:p>
      <w:pPr>
        <w:pStyle w:val="Title"/>
      </w:pPr>
      <w:r>
        <w:t>Recurrent non-salary expenditure data element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Recurrent non-salary expenditure data element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757073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9b07a41a45242fb">
              <w:r>
                <w:rPr>
                  <w:rStyle w:val="Hyperlink"/>
                  <w:color w:val="244061"/>
                </w:rPr>
                <w:t xml:space="preserve">Health</w:t>
              </w:r>
            </w:hyperlink>
            <w:r>
              <w:rPr>
                <w:rStyle w:val="row-content"/>
                <w:color w:val="244061"/>
              </w:rPr>
              <w:t xml:space="preserve">, Standard 09/12/2022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These data elements are used in conjunction with each other to describe recurrent non-salary expenditure by establishments. These data elements exclude expenditure relating to salaries and wages.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Recurrent non-salary expenditure data element cluster comprises three data elements that provide information on the categories of recurrent non-salary expenditure, the total amount of recurrent non-salary expenditure in Australian dollars and whether these data are estimated.</w:t>
            </w:r>
          </w:p>
          <w:p>
            <w:pPr>
              <w:spacing w:after="160"/>
            </w:pPr>
            <w:r>
              <w:rPr>
                <w:rStyle w:val="row-content-rich-text"/>
              </w:rPr>
              <w:t xml:space="preserve">The Recurrent non-salary expenditure data element cluster describes the following information for an establishment: </w:t>
            </w:r>
          </w:p>
          <w:tbl>
            <w:tblPr>
              <w:tblStyle w:val="TableGrid"/>
              <w:tblW w:w="5000" w:type="pct"/>
              <w:tblLayout w:type="autofit"/>
            </w:tblPr>
            <w:tblGrid>
              <w:gridCol/>
              <w:gridCol/>
              <w:gridCol/>
            </w:tblGrid>
            <w:tr>
              <w:trPr/>
              <w:tc>
                <w:tcPr>
                  <w:tcW w:w="2500" w:type="pct"/>
                  <w:vAlign w:val="top"/>
                </w:tcPr>
                <w:p>
                  <w:pPr/>
                  <w:r>
                    <w:rPr>
                      <w:rStyle w:val="row-content-rich-text"/>
                    </w:rPr>
                    <w:t xml:space="preserve"> </w:t>
                  </w:r>
                  <w:r>
                    <w:rPr>
                      <w:rStyle w:val="row-content-rich-text"/>
                      <w:b/>
                    </w:rPr>
                    <w:t xml:space="preserve">Recurrent non-salary expenditure category</w:t>
                  </w:r>
                </w:p>
              </w:tc>
              <w:tc>
                <w:tcPr>
                  <w:tcW w:w="1050" w:type="pct"/>
                  <w:vAlign w:val="top"/>
                </w:tcPr>
                <w:p>
                  <w:r>
                    <w:rPr>
                      <w:b/>
                    </w:rPr>
                    <w:t xml:space="preserve">Total Australian Dollars</w:t>
                  </w:r>
                </w:p>
              </w:tc>
              <w:tc>
                <w:tcPr>
                  <w:tcW w:w="1400" w:type="pct"/>
                  <w:vAlign w:val="top"/>
                </w:tcPr>
                <w:p>
                  <w:r>
                    <w:rPr>
                      <w:b/>
                    </w:rPr>
                    <w:t xml:space="preserve">Estimated data indicator</w:t>
                  </w:r>
                </w:p>
              </w:tc>
            </w:tr>
            <w:tr>
              <w:trPr/>
              <w:tc>
                <w:tcPr>
                  <w:tcW w:w="2500" w:type="pct"/>
                  <w:vAlign w:val="top"/>
                </w:tcPr>
                <w:p>
                  <w:r>
                    <w:t xml:space="preserve">Administrative expenses - insurance</w:t>
                  </w:r>
                </w:p>
              </w:tc>
              <w:tc>
                <w:tcPr>
                  <w:tcW w:w="1050" w:type="pct"/>
                  <w:vAlign w:val="top"/>
                </w:tcPr>
                <w:p>
                  <w:r>
                    <w:t xml:space="preserve">N[N(13)]</w:t>
                  </w:r>
                </w:p>
              </w:tc>
              <w:tc>
                <w:tcPr>
                  <w:tcW w:w="1400" w:type="pct"/>
                  <w:vAlign w:val="top"/>
                </w:tcPr>
                <w:p>
                  <w:r>
                    <w:t xml:space="preserve">1. Yes</w:t>
                  </w:r>
                  <w:r>
                    <w:br/>
                  </w:r>
                  <w:r>
                    <w:t xml:space="preserve">2. No</w:t>
                  </w:r>
                </w:p>
              </w:tc>
            </w:tr>
            <w:tr>
              <w:trPr/>
              <w:tc>
                <w:tcPr>
                  <w:tcW w:w="2500" w:type="pct"/>
                  <w:vAlign w:val="top"/>
                </w:tcPr>
                <w:p>
                  <w:r>
                    <w:t xml:space="preserve">Administrative expenses - other</w:t>
                  </w:r>
                </w:p>
              </w:tc>
              <w:tc>
                <w:tcPr>
                  <w:tcW w:w="1050" w:type="pct"/>
                  <w:vAlign w:val="top"/>
                </w:tcPr>
                <w:p>
                  <w:r>
                    <w:t xml:space="preserve">N[N(13)]</w:t>
                  </w:r>
                </w:p>
              </w:tc>
              <w:tc>
                <w:tcPr>
                  <w:tcW w:w="1400" w:type="pct"/>
                  <w:vAlign w:val="top"/>
                </w:tcPr>
                <w:p>
                  <w:r>
                    <w:t xml:space="preserve">1. Yes</w:t>
                  </w:r>
                  <w:r>
                    <w:br/>
                  </w:r>
                  <w:r>
                    <w:t xml:space="preserve">2. No</w:t>
                  </w:r>
                </w:p>
              </w:tc>
            </w:tr>
            <w:tr>
              <w:trPr/>
              <w:tc>
                <w:tcPr>
                  <w:tcW w:w="2500" w:type="pct"/>
                  <w:vAlign w:val="top"/>
                </w:tcPr>
                <w:p>
                  <w:r>
                    <w:t xml:space="preserve">Depreciation - building</w:t>
                  </w:r>
                </w:p>
              </w:tc>
              <w:tc>
                <w:tcPr>
                  <w:tcW w:w="1050" w:type="pct"/>
                  <w:vAlign w:val="top"/>
                </w:tcPr>
                <w:p>
                  <w:r>
                    <w:t xml:space="preserve">N[N(13)]</w:t>
                  </w:r>
                </w:p>
              </w:tc>
              <w:tc>
                <w:tcPr>
                  <w:tcW w:w="1400" w:type="pct"/>
                  <w:vAlign w:val="top"/>
                </w:tcPr>
                <w:p>
                  <w:r>
                    <w:t xml:space="preserve">1. Yes</w:t>
                  </w:r>
                  <w:r>
                    <w:br/>
                  </w:r>
                  <w:r>
                    <w:t xml:space="preserve">2. No</w:t>
                  </w:r>
                </w:p>
              </w:tc>
            </w:tr>
            <w:tr>
              <w:trPr/>
              <w:tc>
                <w:tcPr>
                  <w:tcW w:w="2500" w:type="pct"/>
                  <w:vAlign w:val="top"/>
                </w:tcPr>
                <w:p>
                  <w:r>
                    <w:t xml:space="preserve">Depreciation - other</w:t>
                  </w:r>
                </w:p>
              </w:tc>
              <w:tc>
                <w:tcPr>
                  <w:tcW w:w="1050" w:type="pct"/>
                  <w:vAlign w:val="top"/>
                </w:tcPr>
                <w:p>
                  <w:r>
                    <w:t xml:space="preserve">N[N(13)]</w:t>
                  </w:r>
                </w:p>
              </w:tc>
              <w:tc>
                <w:tcPr>
                  <w:tcW w:w="1400" w:type="pct"/>
                  <w:vAlign w:val="top"/>
                </w:tcPr>
                <w:p>
                  <w:r>
                    <w:t xml:space="preserve">1. Yes</w:t>
                  </w:r>
                  <w:r>
                    <w:br/>
                  </w:r>
                  <w:r>
                    <w:t xml:space="preserve">2. No</w:t>
                  </w:r>
                </w:p>
              </w:tc>
            </w:tr>
            <w:tr>
              <w:trPr/>
              <w:tc>
                <w:tcPr>
                  <w:tcW w:w="2500" w:type="pct"/>
                  <w:vAlign w:val="top"/>
                </w:tcPr>
                <w:p>
                  <w:r>
                    <w:t xml:space="preserve">Domestic services</w:t>
                  </w:r>
                </w:p>
              </w:tc>
              <w:tc>
                <w:tcPr>
                  <w:tcW w:w="1050" w:type="pct"/>
                  <w:vAlign w:val="top"/>
                </w:tcPr>
                <w:p>
                  <w:r>
                    <w:t xml:space="preserve">N[N(13)]</w:t>
                  </w:r>
                </w:p>
              </w:tc>
              <w:tc>
                <w:tcPr>
                  <w:tcW w:w="1400" w:type="pct"/>
                  <w:vAlign w:val="top"/>
                </w:tcPr>
                <w:p>
                  <w:r>
                    <w:t xml:space="preserve">1. Yes</w:t>
                  </w:r>
                  <w:r>
                    <w:br/>
                  </w:r>
                  <w:r>
                    <w:t xml:space="preserve">2. No</w:t>
                  </w:r>
                </w:p>
              </w:tc>
            </w:tr>
            <w:tr>
              <w:trPr/>
              <w:tc>
                <w:tcPr>
                  <w:tcW w:w="2500" w:type="pct"/>
                  <w:vAlign w:val="top"/>
                </w:tcPr>
                <w:p>
                  <w:r>
                    <w:t xml:space="preserve">Interest payments</w:t>
                  </w:r>
                </w:p>
              </w:tc>
              <w:tc>
                <w:tcPr>
                  <w:tcW w:w="1050" w:type="pct"/>
                  <w:vAlign w:val="top"/>
                </w:tcPr>
                <w:p>
                  <w:r>
                    <w:t xml:space="preserve">N[N(13)]</w:t>
                  </w:r>
                </w:p>
              </w:tc>
              <w:tc>
                <w:tcPr>
                  <w:tcW w:w="1400" w:type="pct"/>
                  <w:vAlign w:val="top"/>
                </w:tcPr>
                <w:p>
                  <w:r>
                    <w:t xml:space="preserve">1. Yes</w:t>
                  </w:r>
                  <w:r>
                    <w:br/>
                  </w:r>
                  <w:r>
                    <w:t xml:space="preserve">2. No</w:t>
                  </w:r>
                </w:p>
              </w:tc>
            </w:tr>
            <w:tr>
              <w:trPr/>
              <w:tc>
                <w:tcPr>
                  <w:tcW w:w="2500" w:type="pct"/>
                  <w:vAlign w:val="top"/>
                </w:tcPr>
                <w:p>
                  <w:r>
                    <w:t xml:space="preserve">Lease costs</w:t>
                  </w:r>
                </w:p>
              </w:tc>
              <w:tc>
                <w:tcPr>
                  <w:tcW w:w="1050" w:type="pct"/>
                  <w:vAlign w:val="top"/>
                </w:tcPr>
                <w:p>
                  <w:r>
                    <w:t xml:space="preserve">N[N(13)]</w:t>
                  </w:r>
                </w:p>
              </w:tc>
              <w:tc>
                <w:tcPr>
                  <w:tcW w:w="1400" w:type="pct"/>
                  <w:vAlign w:val="top"/>
                </w:tcPr>
                <w:p>
                  <w:r>
                    <w:t xml:space="preserve">1. Yes</w:t>
                  </w:r>
                  <w:r>
                    <w:br/>
                  </w:r>
                  <w:r>
                    <w:t xml:space="preserve">2. No</w:t>
                  </w:r>
                </w:p>
              </w:tc>
            </w:tr>
            <w:tr>
              <w:trPr/>
              <w:tc>
                <w:tcPr>
                  <w:tcW w:w="2500" w:type="pct"/>
                  <w:vAlign w:val="top"/>
                </w:tcPr>
                <w:p>
                  <w:r>
                    <w:t xml:space="preserve">Patient transport costs</w:t>
                  </w:r>
                </w:p>
              </w:tc>
              <w:tc>
                <w:tcPr>
                  <w:tcW w:w="1050" w:type="pct"/>
                  <w:vAlign w:val="top"/>
                </w:tcPr>
                <w:p>
                  <w:r>
                    <w:t xml:space="preserve">N[N(13)]</w:t>
                  </w:r>
                </w:p>
              </w:tc>
              <w:tc>
                <w:tcPr>
                  <w:tcW w:w="1400" w:type="pct"/>
                  <w:vAlign w:val="top"/>
                </w:tcPr>
                <w:p>
                  <w:r>
                    <w:t xml:space="preserve">1. Yes</w:t>
                  </w:r>
                  <w:r>
                    <w:br/>
                  </w:r>
                  <w:r>
                    <w:t xml:space="preserve">2. No</w:t>
                  </w:r>
                </w:p>
              </w:tc>
            </w:tr>
            <w:tr>
              <w:trPr/>
              <w:tc>
                <w:tcPr>
                  <w:tcW w:w="2500" w:type="pct"/>
                  <w:vAlign w:val="top"/>
                </w:tcPr>
                <w:p>
                  <w:r>
                    <w:t xml:space="preserve">Repairs and maintenance</w:t>
                  </w:r>
                </w:p>
              </w:tc>
              <w:tc>
                <w:tcPr>
                  <w:tcW w:w="1050" w:type="pct"/>
                  <w:vAlign w:val="top"/>
                </w:tcPr>
                <w:p>
                  <w:r>
                    <w:t xml:space="preserve">N[N(13)]</w:t>
                  </w:r>
                </w:p>
              </w:tc>
              <w:tc>
                <w:tcPr>
                  <w:tcW w:w="1400" w:type="pct"/>
                  <w:vAlign w:val="top"/>
                </w:tcPr>
                <w:p>
                  <w:r>
                    <w:t xml:space="preserve">1. Yes</w:t>
                  </w:r>
                  <w:r>
                    <w:br/>
                  </w:r>
                  <w:r>
                    <w:t xml:space="preserve">2. No</w:t>
                  </w:r>
                </w:p>
              </w:tc>
            </w:tr>
            <w:tr>
              <w:trPr/>
              <w:tc>
                <w:tcPr>
                  <w:tcW w:w="2500" w:type="pct"/>
                  <w:vAlign w:val="top"/>
                </w:tcPr>
                <w:p>
                  <w:r>
                    <w:t xml:space="preserve">Superannuation employer contributions</w:t>
                  </w:r>
                </w:p>
              </w:tc>
              <w:tc>
                <w:tcPr>
                  <w:tcW w:w="1050" w:type="pct"/>
                  <w:vAlign w:val="top"/>
                </w:tcPr>
                <w:p>
                  <w:r>
                    <w:t xml:space="preserve">N[N(13)]</w:t>
                  </w:r>
                </w:p>
              </w:tc>
              <w:tc>
                <w:tcPr>
                  <w:tcW w:w="1400" w:type="pct"/>
                  <w:vAlign w:val="top"/>
                </w:tcPr>
                <w:p>
                  <w:r>
                    <w:t xml:space="preserve">1. Yes</w:t>
                  </w:r>
                  <w:r>
                    <w:br/>
                  </w:r>
                  <w:r>
                    <w:t xml:space="preserve">2. No</w:t>
                  </w:r>
                </w:p>
              </w:tc>
            </w:tr>
            <w:tr>
              <w:trPr/>
              <w:tc>
                <w:tcPr>
                  <w:tcW w:w="2500" w:type="pct"/>
                  <w:vAlign w:val="top"/>
                </w:tcPr>
                <w:p>
                  <w:r>
                    <w:t xml:space="preserve">Other on-costs</w:t>
                  </w:r>
                </w:p>
              </w:tc>
              <w:tc>
                <w:tcPr>
                  <w:tcW w:w="1050" w:type="pct"/>
                  <w:vAlign w:val="top"/>
                </w:tcPr>
                <w:p>
                  <w:r>
                    <w:t xml:space="preserve">N[N(13)]</w:t>
                  </w:r>
                </w:p>
              </w:tc>
              <w:tc>
                <w:tcPr>
                  <w:tcW w:w="1400" w:type="pct"/>
                  <w:vAlign w:val="top"/>
                </w:tcPr>
                <w:p>
                  <w:r>
                    <w:t xml:space="preserve">1. Yes</w:t>
                  </w:r>
                  <w:r>
                    <w:br/>
                  </w:r>
                  <w:r>
                    <w:t xml:space="preserve">2. No</w:t>
                  </w:r>
                </w:p>
              </w:tc>
            </w:tr>
            <w:tr>
              <w:trPr/>
              <w:tc>
                <w:tcPr>
                  <w:tcW w:w="2500" w:type="pct"/>
                  <w:vAlign w:val="top"/>
                </w:tcPr>
                <w:p>
                  <w:r>
                    <w:t xml:space="preserve">Supplies - drug</w:t>
                  </w:r>
                </w:p>
              </w:tc>
              <w:tc>
                <w:tcPr>
                  <w:tcW w:w="1050" w:type="pct"/>
                  <w:vAlign w:val="top"/>
                </w:tcPr>
                <w:p>
                  <w:r>
                    <w:t xml:space="preserve">N[N(13)]</w:t>
                  </w:r>
                </w:p>
              </w:tc>
              <w:tc>
                <w:tcPr>
                  <w:tcW w:w="1400" w:type="pct"/>
                  <w:vAlign w:val="top"/>
                </w:tcPr>
                <w:p>
                  <w:r>
                    <w:t xml:space="preserve">1. Yes</w:t>
                  </w:r>
                  <w:r>
                    <w:br/>
                  </w:r>
                  <w:r>
                    <w:t xml:space="preserve">2. No</w:t>
                  </w:r>
                </w:p>
              </w:tc>
            </w:tr>
            <w:tr>
              <w:trPr/>
              <w:tc>
                <w:tcPr>
                  <w:tcW w:w="2500" w:type="pct"/>
                  <w:vAlign w:val="top"/>
                </w:tcPr>
                <w:p>
                  <w:r>
                    <w:t xml:space="preserve">Supplies - food</w:t>
                  </w:r>
                </w:p>
              </w:tc>
              <w:tc>
                <w:tcPr>
                  <w:tcW w:w="1050" w:type="pct"/>
                  <w:vAlign w:val="top"/>
                </w:tcPr>
                <w:p>
                  <w:r>
                    <w:t xml:space="preserve">N[N(13)]</w:t>
                  </w:r>
                </w:p>
              </w:tc>
              <w:tc>
                <w:tcPr>
                  <w:tcW w:w="1400" w:type="pct"/>
                  <w:vAlign w:val="top"/>
                </w:tcPr>
                <w:p>
                  <w:r>
                    <w:t xml:space="preserve">1. Yes</w:t>
                  </w:r>
                  <w:r>
                    <w:br/>
                  </w:r>
                  <w:r>
                    <w:t xml:space="preserve">2. No</w:t>
                  </w:r>
                </w:p>
              </w:tc>
            </w:tr>
            <w:tr>
              <w:trPr/>
              <w:tc>
                <w:tcPr>
                  <w:tcW w:w="2500" w:type="pct"/>
                  <w:vAlign w:val="top"/>
                </w:tcPr>
                <w:p>
                  <w:r>
                    <w:t xml:space="preserve">Supplies - medical and surgical</w:t>
                  </w:r>
                </w:p>
              </w:tc>
              <w:tc>
                <w:tcPr>
                  <w:tcW w:w="1050" w:type="pct"/>
                  <w:vAlign w:val="top"/>
                </w:tcPr>
                <w:p>
                  <w:r>
                    <w:t xml:space="preserve">N[N(13)]</w:t>
                  </w:r>
                </w:p>
              </w:tc>
              <w:tc>
                <w:tcPr>
                  <w:tcW w:w="1400" w:type="pct"/>
                  <w:vAlign w:val="top"/>
                </w:tcPr>
                <w:p>
                  <w:r>
                    <w:t xml:space="preserve">1. Yes</w:t>
                  </w:r>
                  <w:r>
                    <w:br/>
                  </w:r>
                  <w:r>
                    <w:t xml:space="preserve">2. No</w:t>
                  </w:r>
                </w:p>
              </w:tc>
            </w:tr>
            <w:tr>
              <w:trPr/>
              <w:tc>
                <w:tcPr>
                  <w:tcW w:w="2500" w:type="pct"/>
                  <w:vAlign w:val="top"/>
                </w:tcPr>
                <w:p>
                  <w:r>
                    <w:t xml:space="preserve">Visiting medical officer payments</w:t>
                  </w:r>
                </w:p>
              </w:tc>
              <w:tc>
                <w:tcPr>
                  <w:tcW w:w="1050" w:type="pct"/>
                  <w:vAlign w:val="top"/>
                </w:tcPr>
                <w:p>
                  <w:r>
                    <w:t xml:space="preserve">N[N(13)]</w:t>
                  </w:r>
                </w:p>
              </w:tc>
              <w:tc>
                <w:tcPr>
                  <w:tcW w:w="1400" w:type="pct"/>
                  <w:vAlign w:val="top"/>
                </w:tcPr>
                <w:p>
                  <w:r>
                    <w:t xml:space="preserve">1. Yes</w:t>
                  </w:r>
                  <w:r>
                    <w:br/>
                  </w:r>
                  <w:r>
                    <w:t xml:space="preserve">2. No</w:t>
                  </w:r>
                </w:p>
              </w:tc>
            </w:tr>
            <w:tr>
              <w:trPr/>
              <w:tc>
                <w:tcPr>
                  <w:tcW w:w="2500" w:type="pct"/>
                  <w:vAlign w:val="top"/>
                </w:tcPr>
                <w:p>
                  <w:r>
                    <w:t xml:space="preserve">Not elsewhere recorded</w:t>
                  </w:r>
                </w:p>
              </w:tc>
              <w:tc>
                <w:tcPr>
                  <w:tcW w:w="1050" w:type="pct"/>
                  <w:vAlign w:val="top"/>
                </w:tcPr>
                <w:p>
                  <w:r>
                    <w:t xml:space="preserve">N[N(13)]</w:t>
                  </w:r>
                </w:p>
              </w:tc>
              <w:tc>
                <w:tcPr>
                  <w:tcW w:w="1400" w:type="pct"/>
                  <w:vAlign w:val="top"/>
                </w:tcPr>
                <w:p>
                  <w:r>
                    <w:t xml:space="preserve">1. Yes</w:t>
                  </w:r>
                  <w:r>
                    <w:br/>
                  </w:r>
                  <w:r>
                    <w:t xml:space="preserve">2. No</w:t>
                  </w:r>
                </w:p>
              </w:tc>
            </w:tr>
          </w:tbl>
          <w:p>
            <w:r>
              <w:t xml:space="preserve">The reported expenditure must be prepared using accrual basis of accounting as per the Australian Accounting Standards Board, Standard 101.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ee0f5d85fdb4600">
              <w:r>
                <w:rPr>
                  <w:rStyle w:val="Hyperlink"/>
                </w:rPr>
                <w:t xml:space="preserve">Recurrent non-salary expenditure data element cluster</w:t>
              </w:r>
            </w:hyperlink>
          </w:p>
          <w:p>
            <w:pPr>
              <w:spacing w:before="0" w:after="0"/>
            </w:pPr>
            <w:r>
              <w:rPr>
                <w:rStyle w:val="row-content"/>
                <w:color w:val="244061"/>
              </w:rPr>
              <w:t xml:space="preserve">       </w:t>
            </w:r>
            <w:hyperlink w:history="true" r:id="Rf97b5020366d4692">
              <w:r>
                <w:rPr>
                  <w:rStyle w:val="Hyperlink"/>
                  <w:color w:val="244061"/>
                </w:rPr>
                <w:t xml:space="preserve">Health</w:t>
              </w:r>
            </w:hyperlink>
            <w:r>
              <w:rPr>
                <w:rStyle w:val="row-content"/>
                <w:color w:val="244061"/>
              </w:rPr>
              <w:t xml:space="preserve">, Superseded 09/12/2022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4a7a914f87e42db">
              <w:r>
                <w:rPr>
                  <w:rStyle w:val="Hyperlink"/>
                </w:rPr>
                <w:t xml:space="preserve">Local Hospital Networks/Public hospital establishments NMDS 2023–24</w:t>
              </w:r>
            </w:hyperlink>
          </w:p>
          <w:p>
            <w:pPr>
              <w:spacing w:before="0" w:after="0"/>
            </w:pPr>
            <w:r>
              <w:rPr>
                <w:rStyle w:val="row-content"/>
                <w:color w:val="244061"/>
              </w:rPr>
              <w:t xml:space="preserve">       </w:t>
            </w:r>
            <w:hyperlink w:history="true" r:id="R0bb19756b2bc4e99">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DSS specific information: </w:t>
            </w:r>
          </w:p>
          <w:p>
            <w:r>
              <w:rPr>
                <w:rStyle w:val="row-content"/>
              </w:rPr>
              <w:t xml:space="preserve">This metadata item is collected at three levels:</w:t>
            </w:r>
            <w:r>
              <w:br/>
            </w:r>
            <w:r>
              <w:rPr>
                <w:rStyle w:val="row-content"/>
              </w:rPr>
              <w:t xml:space="preserve"> - State/Territory Health Authority reporting level. It is collected once for each State/Territory Health Authority.</w:t>
            </w:r>
            <w:r>
              <w:br/>
            </w:r>
            <w:r>
              <w:rPr>
                <w:rStyle w:val="row-content"/>
              </w:rPr>
              <w:t xml:space="preserve"> - Local Hospital Network (LHN) reporting level. It is collected once for each LHN.</w:t>
            </w:r>
            <w:r>
              <w:br/>
            </w:r>
            <w:r>
              <w:rPr>
                <w:rStyle w:val="row-content"/>
              </w:rPr>
              <w:t xml:space="preserve"> - Public Hospital Establishments (PHE) reporting level. It is collected once for each PHE.</w:t>
            </w:r>
          </w:p>
          <w:p>
            <w:r>
              <w:br/>
            </w:r>
            <w:r>
              <w:br/>
            </w:r>
            <w:hyperlink w:history="true" r:id="Rcf1262311c234f91">
              <w:r>
                <w:rPr>
                  <w:rStyle w:val="Hyperlink"/>
                </w:rPr>
                <w:t xml:space="preserve">Local Hospital Networks/Public hospital establishments NMDS 2024–25</w:t>
              </w:r>
            </w:hyperlink>
          </w:p>
          <w:p>
            <w:pPr>
              <w:spacing w:before="0" w:after="0"/>
            </w:pPr>
            <w:r>
              <w:rPr>
                <w:rStyle w:val="row-content"/>
                <w:color w:val="244061"/>
              </w:rPr>
              <w:t xml:space="preserve">       </w:t>
            </w:r>
            <w:hyperlink w:history="true" r:id="Rab479b6fd61a4dc6">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DSS specific information: </w:t>
            </w:r>
          </w:p>
          <w:p>
            <w:r>
              <w:rPr>
                <w:rStyle w:val="row-content"/>
              </w:rPr>
              <w:t xml:space="preserve">This metadata item is collected at three levels:</w:t>
            </w:r>
            <w:r>
              <w:br/>
            </w:r>
            <w:r>
              <w:rPr>
                <w:rStyle w:val="row-content"/>
              </w:rPr>
              <w:t xml:space="preserve"> - State/Territory Health Authority reporting level. It is collected once for each State/Territory Health Authority.</w:t>
            </w:r>
            <w:r>
              <w:br/>
            </w:r>
            <w:r>
              <w:rPr>
                <w:rStyle w:val="row-content"/>
              </w:rPr>
              <w:t xml:space="preserve"> - Local Hospital Network (LHN) reporting level. It is collected once for each LHN.</w:t>
            </w:r>
            <w:r>
              <w:br/>
            </w:r>
            <w:r>
              <w:rPr>
                <w:rStyle w:val="row-content"/>
              </w:rPr>
              <w:t xml:space="preserve"> - Public Hospital Establishments (PHE) reporting level. It is collected once for each PHE.</w:t>
            </w:r>
          </w:p>
          <w:p>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16532dc5776465d">
                    <w:r>
                      <w:rPr>
                        <w:rStyle w:val="Hyperlink"/>
                      </w:rPr>
                      <w:t xml:space="preserve">Establishment—data estimated indicator, yes/no code N</w:t>
                    </w:r>
                  </w:hyperlink>
                </w:p>
                <w:p>
                  <w:r>
                    <w:rPr>
                      <w:b/>
                      <w:i/>
                      <w:color w:val="333333"/>
                    </w:rPr>
                    <w:t xml:space="preserve">DSS specific information:</w:t>
                  </w:r>
                </w:p>
                <w:p>
                  <w:r>
                    <w:t xml:space="preserve">This data element is used to indicate where financial data have been estimated rather than directly sourced from the general ledger, audited accounts or other financial systems.</w:t>
                  </w:r>
                </w:p>
                <w:p>
                  <w:r>
                    <w:t xml:space="preserve">The PHE NMDS Working Group strongly supported the inclusion of a data element to indicate where data had been estimated or apportioned, as a way of informing data users of situations where the data do not reflect the actual items in the general ledger.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b50c7dd9d2c4a9d">
                    <w:r>
                      <w:rPr>
                        <w:rStyle w:val="Hyperlink"/>
                      </w:rPr>
                      <w:t xml:space="preserve">Establishment—recurrent non-salary expenditure categories,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a22aeee0c2746e9">
                    <w:r>
                      <w:rPr>
                        <w:rStyle w:val="Hyperlink"/>
                      </w:rPr>
                      <w:t xml:space="preserve">Establishment—recurrent non-salary expenditure, total Australian currency N[N(13)]</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16</w:t>
                  </w:r>
                </w:p>
              </w:tc>
            </w:tr>
          </w:tbl>
          <w:p/>
        </w:tc>
      </w:tr>
    </w:tbl>
    <w:p>
      <w:r>
        <w:br/>
      </w:r>
    </w:p>
    <w:sectPr>
      <w:footerReference xmlns:r="http://schemas.openxmlformats.org/officeDocument/2006/relationships" w:type="default" r:id="R29a2d9d329674ac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757073</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86d132cf37b4da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9a2d9d329674ac9" /><Relationship Type="http://schemas.openxmlformats.org/officeDocument/2006/relationships/header" Target="/word/header1.xml" Id="Rdad45d517f8045ac" /><Relationship Type="http://schemas.openxmlformats.org/officeDocument/2006/relationships/settings" Target="/word/settings.xml" Id="R6766fd5e9fa34298" /><Relationship Type="http://schemas.openxmlformats.org/officeDocument/2006/relationships/styles" Target="/word/styles.xml" Id="R46373a99bd7c483b" /><Relationship Type="http://schemas.openxmlformats.org/officeDocument/2006/relationships/hyperlink" Target="https://meteor.aihw.gov.au/RegistrationAuthority/12" TargetMode="External" Id="R29b07a41a45242fb" /><Relationship Type="http://schemas.openxmlformats.org/officeDocument/2006/relationships/hyperlink" Target="https://meteor.aihw.gov.au/content/616030" TargetMode="External" Id="R7ee0f5d85fdb4600" /><Relationship Type="http://schemas.openxmlformats.org/officeDocument/2006/relationships/hyperlink" Target="https://meteor.aihw.gov.au/RegistrationAuthority/12" TargetMode="External" Id="Rf97b5020366d4692" /><Relationship Type="http://schemas.openxmlformats.org/officeDocument/2006/relationships/hyperlink" Target="https://meteor.aihw.gov.au/content/756101" TargetMode="External" Id="R44a7a914f87e42db" /><Relationship Type="http://schemas.openxmlformats.org/officeDocument/2006/relationships/hyperlink" Target="https://meteor.aihw.gov.au/RegistrationAuthority/12" TargetMode="External" Id="R0bb19756b2bc4e99" /><Relationship Type="http://schemas.openxmlformats.org/officeDocument/2006/relationships/hyperlink" Target="https://meteor.aihw.gov.au/content/775625" TargetMode="External" Id="Rcf1262311c234f91" /><Relationship Type="http://schemas.openxmlformats.org/officeDocument/2006/relationships/hyperlink" Target="https://meteor.aihw.gov.au/RegistrationAuthority/12" TargetMode="External" Id="Rab479b6fd61a4dc6" /><Relationship Type="http://schemas.openxmlformats.org/officeDocument/2006/relationships/hyperlink" Target="https://meteor.aihw.gov.au/content/757029" TargetMode="External" Id="R116532dc5776465d" /><Relationship Type="http://schemas.openxmlformats.org/officeDocument/2006/relationships/hyperlink" Target="https://meteor.aihw.gov.au/content/542106" TargetMode="External" Id="Rbb50c7dd9d2c4a9d" /><Relationship Type="http://schemas.openxmlformats.org/officeDocument/2006/relationships/hyperlink" Target="https://meteor.aihw.gov.au/content/616003" TargetMode="External" Id="R5a22aeee0c2746e9" /></Relationships>
</file>

<file path=word/_rels/header1.xml.rels>&#65279;<?xml version="1.0" encoding="utf-8"?><Relationships xmlns="http://schemas.openxmlformats.org/package/2006/relationships"><Relationship Type="http://schemas.openxmlformats.org/officeDocument/2006/relationships/image" Target="/media/image.png" Id="Rb86d132cf37b4dab" /></Relationships>
</file>