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1d7bdb90f43b8"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 care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18c2e30684f7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 care through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ac0f19be214217">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95bcdc53b41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9cd5b53df141e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83595ca47e4684">
              <w:r>
                <w:rPr>
                  <w:rStyle w:val="Hyperlink"/>
                </w:rPr>
                <w:t xml:space="preserve">Contact  worker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887c62ccb84296">
              <w:r>
                <w:rPr>
                  <w:rStyle w:val="Hyperlink"/>
                </w:rPr>
                <w:t xml:space="preserve">Aboriginal and Torres Strait Islander primary health care worker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e7d2b72fc460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primary health care to Aboriginal and Torres Strait Islander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health/Clinical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Transport worker who takes clients to health professionals who do not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 who takes clients to health professionals who do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2aec3943eee74ffe">
              <w:r>
                <w:rPr>
                  <w:rStyle w:val="Hyperlink"/>
                  <w:b/>
                </w:rPr>
                <w:t xml:space="preserve">Aboriginal and Torres Strait Islander health worker</w:t>
              </w:r>
            </w:hyperlink>
            <w:r>
              <w:rPr>
                <w:rStyle w:val="row-content-rich-text"/>
              </w:rPr>
              <w:t xml:space="preserve"> (AHW)</w:t>
            </w:r>
          </w:p>
          <w:p>
            <w:pPr>
              <w:spacing w:after="160"/>
            </w:pPr>
            <w:r>
              <w:rPr>
                <w:rStyle w:val="row-content-rich-text"/>
              </w:rPr>
              <w:t xml:space="preserve">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2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3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4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5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6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7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8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9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10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11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12 Other health/Clinical staff</w:t>
            </w:r>
          </w:p>
          <w:p>
            <w:pPr>
              <w:spacing w:after="160"/>
            </w:pPr>
            <w:r>
              <w:rPr>
                <w:rStyle w:val="row-content-rich-text"/>
              </w:rPr>
              <w:t xml:space="preserve">This code refers to other health/Clinical staff not further defined. This includes all other health/Clinical staff that are not included in codes 1–11 or 13–40.</w:t>
            </w:r>
          </w:p>
          <w:p>
            <w:pPr>
              <w:spacing w:after="160"/>
            </w:pPr>
            <w:r>
              <w:rPr>
                <w:rStyle w:val="row-content-rich-text"/>
              </w:rPr>
              <w:t xml:space="preserve">CODE 13 Transport workers who take clients to see health professionals who do not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do </w:t>
            </w:r>
            <w:r>
              <w:rPr>
                <w:rStyle w:val="row-content-rich-text"/>
                <w:i/>
              </w:rPr>
              <w:t xml:space="preserve">not</w:t>
            </w:r>
            <w:r>
              <w:rPr>
                <w:rStyle w:val="row-content-rich-text"/>
              </w:rPr>
              <w:t xml:space="preserve"> work for the Aboriginal and Torres Strait Islander health organisation.</w:t>
            </w:r>
          </w:p>
          <w:p>
            <w:pPr>
              <w:spacing w:after="160"/>
            </w:pPr>
            <w:r>
              <w:rPr>
                <w:rStyle w:val="row-content-rich-text"/>
              </w:rPr>
              <w:t xml:space="preserve">CODE 14 Transport workers who take clients to see health professionals who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organisation.</w:t>
            </w:r>
          </w:p>
          <w:p>
            <w:pPr>
              <w:spacing w:after="160"/>
            </w:pPr>
            <w:r>
              <w:rPr>
                <w:rStyle w:val="row-content-rich-text"/>
              </w:rPr>
              <w:t xml:space="preserve">CODE 15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16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17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18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19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20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21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22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24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25 Specialist (other or not specified)</w:t>
            </w:r>
          </w:p>
          <w:p>
            <w:pPr>
              <w:spacing w:after="160"/>
            </w:pPr>
            <w:r>
              <w:rPr>
                <w:rStyle w:val="row-content-rich-text"/>
              </w:rPr>
              <w:t xml:space="preserve">This code refers to other health specialist staff not further defined.</w:t>
            </w:r>
          </w:p>
          <w:p>
            <w:pPr>
              <w:spacing w:after="160"/>
            </w:pPr>
            <w:r>
              <w:rPr>
                <w:rStyle w:val="row-content-rich-text"/>
              </w:rPr>
              <w:t xml:space="preserve">CODE 26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27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28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29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30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31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32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33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34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35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36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37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38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39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40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99 Not stated/inadequately described</w:t>
            </w:r>
          </w:p>
          <w:p>
            <w:pPr/>
            <w:r>
              <w:rPr>
                <w:rStyle w:val="row-content-rich-text"/>
              </w:rPr>
              <w:t xml:space="preserve">This code refers to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acb5fee639db40fc">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r>
              <w:rPr>
                <w:rStyle w:val="row-content-rich-text"/>
              </w:rPr>
              <w:t xml:space="preserve">NAATSIHWP (National Association of Aboriginal and Torres Strait Islander Health Workers and Practitioners) (2018) </w:t>
            </w:r>
            <w:hyperlink w:history="true" r:id="Ra5310d3c8ae342e1">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d18dfd58a243f9">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a72dde8aa3354c4a">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fbedc385fe4597">
              <w:r>
                <w:rPr>
                  <w:rStyle w:val="Hyperlink"/>
                </w:rPr>
                <w:t xml:space="preserve">Online Services Report (OSR) DSS 2020–21</w:t>
              </w:r>
            </w:hyperlink>
          </w:p>
          <w:p>
            <w:pPr>
              <w:pStyle w:val="registration-status"/>
              <w:spacing w:before="0" w:after="0"/>
            </w:pPr>
            <w:hyperlink w:history="true" r:id="R7bbccd3da03f4a96">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as a disaggregation for client contacts </w:t>
            </w:r>
            <w:hyperlink w:history="true" r:id="R30272a01be7f4a81">
              <w:r>
                <w:rPr>
                  <w:rStyle w:val="Hyperlink"/>
                </w:rPr>
                <w:t xml:space="preserve">Service provider organisation—number of service contacts, total N[NNNNN]</w:t>
              </w:r>
            </w:hyperlink>
            <w:r>
              <w:rPr>
                <w:rStyle w:val="row-content"/>
              </w:rPr>
              <w:t xml:space="preserve">.</w:t>
            </w:r>
          </w:p>
          <w:p>
            <w:r>
              <w:rPr>
                <w:rStyle w:val="row-content"/>
              </w:rPr>
              <w:t xml:space="preserve">Data are reported for CODES 1–40 only.</w:t>
            </w:r>
          </w:p>
          <w:p>
            <w:r>
              <w:br/>
            </w:r>
            <w:r>
              <w:br/>
            </w:r>
          </w:p>
        </w:tc>
      </w:tr>
    </w:tbl>
    <w:p/>
    <w:tbl>
      <w:tblPr>
        <w:tblStyle w:val="TableGrid"/>
        <w:tblW w:w="0" w:type="auto"/>
      </w:tblPr>
    </w:tbl>
    <w:p>
      <w:r>
        <w:br/>
      </w:r>
    </w:p>
    <w:sectPr>
      <w:footerReference xmlns:r="http://schemas.openxmlformats.org/officeDocument/2006/relationships" w:type="default" r:id="R9c4ef2cb0fea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48d27cc06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ef2cb0fea4704" /><Relationship Type="http://schemas.openxmlformats.org/officeDocument/2006/relationships/header" Target="/word/header1.xml" Id="R78b6d389794e4695" /><Relationship Type="http://schemas.openxmlformats.org/officeDocument/2006/relationships/settings" Target="/word/settings.xml" Id="R3e68f1c0ee044e53" /><Relationship Type="http://schemas.openxmlformats.org/officeDocument/2006/relationships/styles" Target="/word/styles.xml" Id="R17d2e274cd8f4267" /><Relationship Type="http://schemas.openxmlformats.org/officeDocument/2006/relationships/hyperlink" Target="https://meteor.aihw.gov.au/RegistrationAuthority/6" TargetMode="External" Id="R9e718c2e30684f75" /><Relationship Type="http://schemas.openxmlformats.org/officeDocument/2006/relationships/hyperlink" Target="https://meteor.aihw.gov.au/content/565124" TargetMode="External" Id="R09ac0f19be214217" /><Relationship Type="http://schemas.openxmlformats.org/officeDocument/2006/relationships/hyperlink" Target="https://meteor.aihw.gov.au/RegistrationAuthority/6" TargetMode="External" Id="R93695bcdc53b4128" /><Relationship Type="http://schemas.openxmlformats.org/officeDocument/2006/relationships/hyperlink" Target="https://meteor.aihw.gov.au/content/269022" TargetMode="External" Id="R129cd5b53df141ea" /><Relationship Type="http://schemas.openxmlformats.org/officeDocument/2006/relationships/hyperlink" Target="https://meteor.aihw.gov.au/content/565083" TargetMode="External" Id="R4483595ca47e4684" /><Relationship Type="http://schemas.openxmlformats.org/officeDocument/2006/relationships/hyperlink" Target="https://meteor.aihw.gov.au/content/755662" TargetMode="External" Id="R74887c62ccb84296" /><Relationship Type="http://schemas.openxmlformats.org/officeDocument/2006/relationships/hyperlink" Target="https://meteor.aihw.gov.au/RegistrationAuthority/6" TargetMode="External" Id="Rf34e7d2b72fc4603" /><Relationship Type="http://schemas.openxmlformats.org/officeDocument/2006/relationships/hyperlink" Target="https://meteor.aihw.gov.au/content/780756" TargetMode="External" Id="R2aec3943eee74ffe" /><Relationship Type="http://schemas.openxmlformats.org/officeDocument/2006/relationships/hyperlink" Target="https://www.abs.gov.au/AUSSTATS/abs@.nsf/allprimarymainfeatures/FCC055588D3EBA19CA2584A8000E7889?opendocument" TargetMode="External" Id="Racb5fee639db40fc" /><Relationship Type="http://schemas.openxmlformats.org/officeDocument/2006/relationships/hyperlink" Target="https://www.naatsihwp.org.au/what-atsi-health-workers-and-health-practitioners-do" TargetMode="External" Id="Ra5310d3c8ae342e1" /><Relationship Type="http://schemas.openxmlformats.org/officeDocument/2006/relationships/hyperlink" Target="https://meteor.aihw.gov.au/content/665298" TargetMode="External" Id="R9fd18dfd58a243f9" /><Relationship Type="http://schemas.openxmlformats.org/officeDocument/2006/relationships/hyperlink" Target="https://meteor.aihw.gov.au/RegistrationAuthority/6" TargetMode="External" Id="Ra72dde8aa3354c4a" /><Relationship Type="http://schemas.openxmlformats.org/officeDocument/2006/relationships/hyperlink" Target="https://meteor.aihw.gov.au/content/754789" TargetMode="External" Id="R05fbedc385fe4597" /><Relationship Type="http://schemas.openxmlformats.org/officeDocument/2006/relationships/hyperlink" Target="https://meteor.aihw.gov.au/RegistrationAuthority/6" TargetMode="External" Id="R7bbccd3da03f4a96" /><Relationship Type="http://schemas.openxmlformats.org/officeDocument/2006/relationships/hyperlink" Target="https://meteor.aihw.gov.au/content/483060" TargetMode="External" Id="R30272a01be7f4a81" /></Relationships>
</file>

<file path=word/_rels/header1.xml.rels>&#65279;<?xml version="1.0" encoding="utf-8"?><Relationships xmlns="http://schemas.openxmlformats.org/package/2006/relationships"><Relationship Type="http://schemas.openxmlformats.org/officeDocument/2006/relationships/image" Target="/media/image.png" Id="R25148d27cc0648cd" /></Relationships>
</file>