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dc47e6ea04813" /></Relationships>
</file>

<file path=word/document.xml><?xml version="1.0" encoding="utf-8"?>
<w:document xmlns:r="http://schemas.openxmlformats.org/officeDocument/2006/relationships" xmlns:w="http://schemas.openxmlformats.org/wordprocessingml/2006/main">
  <w:body>
    <w:p>
      <w:pPr>
        <w:pStyle w:val="Title"/>
      </w:pPr>
      <w:r>
        <w:t>Sepsis clinical care standard indicators: 6a-Proportion of patients with sepsis who had a diagnosis of sepsis recorded in their discharge summary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Sepsis clinical care standard indicators: 6a-Proportion of patients with sepsis who had a diagnosis of sepsis recorded in their discharge summary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6a-Proportion of patients with sepsis who had a diagnosis of sepsis recorded in their discharge summary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f340359974ff7">
              <w:r>
                <w:rPr>
                  <w:rStyle w:val="Hyperlink"/>
                  <w:color w:val="244061"/>
                </w:rPr>
                <w:t xml:space="preserve">Australian Commission on Safety and Quality in Health Care</w:t>
              </w:r>
            </w:hyperlink>
            <w:r>
              <w:rPr>
                <w:rStyle w:val="row-content"/>
                <w:color w:val="244061"/>
              </w:rPr>
              <w:t xml:space="preserve">, Standard 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sepsis who had a diagnosis of sepsis recorded in their discharge summary.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that clinicians involved in the care of patients with sepsis share information with each other about the condition and its treatment. This is particularly important during transitions of care in the hospital setting and between hospital and community care settings. </w:t>
            </w:r>
          </w:p>
          <w:p>
            <w:pPr/>
            <w:r>
              <w:rPr>
                <w:rStyle w:val="row-content-rich-text"/>
              </w:rPr>
              <w:t xml:space="preserve">Communication of a patient’s diagnosis of sepsis is important and should be recorded in the discharge summary along with other important information about ongoing treatment and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f5b384fb30460a">
              <w:r>
                <w:rPr>
                  <w:rStyle w:val="Hyperlink"/>
                </w:rPr>
                <w:t xml:space="preserve">Clinical care standard indicators: Sepsis </w:t>
              </w:r>
            </w:hyperlink>
          </w:p>
          <w:p>
            <w:pPr>
              <w:spacing w:before="0" w:after="0"/>
            </w:pPr>
            <w:r>
              <w:rPr>
                <w:rStyle w:val="row-content"/>
                <w:color w:val="244061"/>
              </w:rPr>
              <w:t xml:space="preserve">       </w:t>
            </w:r>
            <w:hyperlink w:history="true" r:id="R68c817123add4108">
              <w:r>
                <w:rPr>
                  <w:rStyle w:val="Hyperlink"/>
                  <w:color w:val="244061"/>
                </w:rPr>
                <w:t xml:space="preserve">Australian Commission on Safety and Quality in Health Care</w:t>
              </w:r>
            </w:hyperlink>
            <w:r>
              <w:rPr>
                <w:rStyle w:val="row-content"/>
                <w:color w:val="244061"/>
              </w:rPr>
              <w:t xml:space="preserve">, Standard 30/06/2022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 and non-admitted patients treated in the emergency department.</w:t>
            </w:r>
          </w:p>
          <w:p>
            <w:pPr>
              <w:spacing w:after="160"/>
            </w:pPr>
            <w:r>
              <w:rPr>
                <w:rStyle w:val="row-content-rich-text"/>
              </w:rPr>
              <w:t xml:space="preserve">For the numerator and the denominator, patients with sepsis can be identified using the </w:t>
            </w:r>
            <w:hyperlink w:history="true" r:id="R55de0bfa784c44b7">
              <w:r>
                <w:rPr>
                  <w:rStyle w:val="Hyperlink"/>
                </w:rPr>
                <w:t xml:space="preserve">ICD codes provided on the ACSQHCs website</w:t>
              </w:r>
            </w:hyperlink>
            <w:r>
              <w:rPr>
                <w:rStyle w:val="row-content-rich-text"/>
              </w:rPr>
              <w:t xml:space="preserve"> or through other prospective or retrospective methods.</w:t>
            </w:r>
          </w:p>
          <w:p>
            <w:pPr>
              <w:spacing w:after="160"/>
            </w:pPr>
            <w:r>
              <w:rPr>
                <w:rStyle w:val="row-content-rich-text"/>
              </w:rPr>
              <w:t xml:space="preserve">Measurement of the numerator requires review of patient discharge summaries to identify if a diagnosis of sepsis is recorded.</w:t>
            </w:r>
          </w:p>
          <w:p>
            <w:pPr>
              <w:spacing w:after="160"/>
            </w:pPr>
            <w:r>
              <w:rPr>
                <w:rStyle w:val="row-content-rich-text"/>
              </w:rPr>
              <w:t xml:space="preserve">To be included in the numerator, a diagnosis of sepsis must be documented as the principal or a secondary diagnosis in the patient’s discharge summary.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sepsis where the diagnosis of sepsis was recorded in the discharge summary.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sepsis.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Sepsis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bl>
    <w:p>
      <w:r>
        <w:br/>
      </w:r>
    </w:p>
    <w:sectPr>
      <w:footerReference xmlns:r="http://schemas.openxmlformats.org/officeDocument/2006/relationships" w:type="default" r:id="Raf1d0cfe6820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755656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b0162d68d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d0cfe68204363" /><Relationship Type="http://schemas.openxmlformats.org/officeDocument/2006/relationships/header" Target="/word/header1.xml" Id="R3ea70183fd3d4d50" /><Relationship Type="http://schemas.openxmlformats.org/officeDocument/2006/relationships/settings" Target="/word/settings.xml" Id="R125bdf030d514713" /><Relationship Type="http://schemas.openxmlformats.org/officeDocument/2006/relationships/styles" Target="/word/styles.xml" Id="R7e2b77e183c04d71" /><Relationship Type="http://schemas.openxmlformats.org/officeDocument/2006/relationships/hyperlink" Target="https://meteor.aihw.gov.au/RegistrationAuthority/18" TargetMode="External" Id="Rd8ff340359974ff7" /><Relationship Type="http://schemas.openxmlformats.org/officeDocument/2006/relationships/hyperlink" Target="https://meteor.aihw.gov.au/content/755589" TargetMode="External" Id="R32f5b384fb30460a" /><Relationship Type="http://schemas.openxmlformats.org/officeDocument/2006/relationships/hyperlink" Target="https://meteor.aihw.gov.au/RegistrationAuthority/18" TargetMode="External" Id="R68c817123add4108" /><Relationship Type="http://schemas.openxmlformats.org/officeDocument/2006/relationships/hyperlink" Target="https://www.safetyandquality.gov.au/sepsis-codes" TargetMode="External" Id="R55de0bfa784c44b7" /></Relationships>
</file>

<file path=word/_rels/header1.xml.rels>&#65279;<?xml version="1.0" encoding="utf-8"?><Relationships xmlns="http://schemas.openxmlformats.org/package/2006/relationships"><Relationship Type="http://schemas.openxmlformats.org/officeDocument/2006/relationships/image" Target="/media/image.png" Id="R6a2b0162d68d46b6" /></Relationships>
</file>