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ef938f432e48f6" /></Relationships>
</file>

<file path=word/document.xml><?xml version="1.0" encoding="utf-8"?>
<w:document xmlns:r="http://schemas.openxmlformats.org/officeDocument/2006/relationships" xmlns:w="http://schemas.openxmlformats.org/wordprocessingml/2006/main">
  <w:body>
    <w:p>
      <w:pPr>
        <w:pStyle w:val="Title"/>
      </w:pPr>
      <w:r>
        <w:t>Sepsis clinical care standard indicators: 5a-Proportion of patients with sepsis who reported they were kept informed as much as they wanted about their treatment and care</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Sepsis clinical care standard indicators: 5a-Proportion of patients with sepsis who reported they were kept informed as much as they wanted about their treatment and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5a-Proportion of patients with sepsis who reported they were kept informed as much as they wanted about their treatment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cdc495bf3845f6">
              <w:r>
                <w:rPr>
                  <w:rStyle w:val="Hyperlink"/>
                  <w:color w:val="244061"/>
                </w:rPr>
                <w:t xml:space="preserve">Australian Commission on Safety and Quality in Health Care</w:t>
              </w:r>
            </w:hyperlink>
            <w:r>
              <w:rPr>
                <w:rStyle w:val="row-content"/>
                <w:color w:val="244061"/>
              </w:rPr>
              <w:t xml:space="preserve">, Standard 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sepsis who reported they were kept informed as much as they wanted about their treatment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their family or carer should be informed about sepsis from the time that it is suspected in a way that they can understand. The information should include:</w:t>
            </w:r>
          </w:p>
          <w:p>
            <w:pPr>
              <w:pStyle w:val="ListParagraph"/>
              <w:numPr>
                <w:ilvl w:val="0"/>
                <w:numId w:val="2"/>
              </w:numPr>
            </w:pPr>
            <w:r>
              <w:rPr>
                <w:rStyle w:val="row-content-rich-text"/>
              </w:rPr>
              <w:t xml:space="preserve">Sepsis diagnosis, treatment and management</w:t>
            </w:r>
          </w:p>
          <w:p>
            <w:pPr>
              <w:pStyle w:val="ListParagraph"/>
              <w:numPr>
                <w:ilvl w:val="0"/>
                <w:numId w:val="2"/>
              </w:numPr>
            </w:pPr>
            <w:r>
              <w:rPr>
                <w:rStyle w:val="row-content-rich-text"/>
              </w:rPr>
              <w:t xml:space="preserve">Signs and symptoms of deterioration</w:t>
            </w:r>
          </w:p>
          <w:p>
            <w:pPr>
              <w:pStyle w:val="ListParagraph"/>
              <w:numPr>
                <w:ilvl w:val="0"/>
                <w:numId w:val="2"/>
              </w:numPr>
            </w:pPr>
            <w:r>
              <w:rPr>
                <w:rStyle w:val="row-content-rich-text"/>
              </w:rPr>
              <w:t xml:space="preserve">Accessing services</w:t>
            </w:r>
          </w:p>
          <w:p>
            <w:pPr>
              <w:pStyle w:val="ListParagraph"/>
              <w:numPr>
                <w:ilvl w:val="0"/>
                <w:numId w:val="2"/>
              </w:numPr>
            </w:pPr>
            <w:r>
              <w:rPr>
                <w:rStyle w:val="row-content-rich-text"/>
              </w:rPr>
              <w:t xml:space="preserve">Health care that may be required after discharge.</w:t>
            </w:r>
          </w:p>
          <w:p>
            <w:pPr/>
            <w:r>
              <w:rPr>
                <w:rStyle w:val="row-content-rich-text"/>
              </w:rPr>
              <w:t xml:space="preserve">Provision of information can help empower patients and carers to meaningfully contribute to shared decision making.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f481d84be3e4c68">
              <w:r>
                <w:rPr>
                  <w:rStyle w:val="Hyperlink"/>
                </w:rPr>
                <w:t xml:space="preserve">Clinical care standard indicators: Sepsis </w:t>
              </w:r>
            </w:hyperlink>
          </w:p>
          <w:p>
            <w:pPr>
              <w:spacing w:before="0" w:after="0"/>
            </w:pPr>
            <w:r>
              <w:rPr>
                <w:rStyle w:val="row-content"/>
                <w:color w:val="244061"/>
              </w:rPr>
              <w:t xml:space="preserve">       </w:t>
            </w:r>
            <w:hyperlink w:history="true" r:id="R9739a1a616b44dd5">
              <w:r>
                <w:rPr>
                  <w:rStyle w:val="Hyperlink"/>
                  <w:color w:val="244061"/>
                </w:rPr>
                <w:t xml:space="preserve">Australian Commission on Safety and Quality in Health Care</w:t>
              </w:r>
            </w:hyperlink>
            <w:r>
              <w:rPr>
                <w:rStyle w:val="row-content"/>
                <w:color w:val="244061"/>
              </w:rPr>
              <w:t xml:space="preserve">, Standard 30/06/2022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include patients admitted to hospital and non-admitted patients treated in the emergency department.</w:t>
            </w:r>
          </w:p>
          <w:p>
            <w:pPr>
              <w:spacing w:after="160"/>
            </w:pPr>
            <w:r>
              <w:rPr>
                <w:rStyle w:val="row-content-rich-text"/>
              </w:rPr>
              <w:t xml:space="preserve">For the numerator and the denominator, patients with sepsis can be identified using the </w:t>
            </w:r>
            <w:hyperlink w:history="true" r:id="Rfb7cdfefdd8a4417">
              <w:r>
                <w:rPr>
                  <w:rStyle w:val="Hyperlink"/>
                </w:rPr>
                <w:t xml:space="preserve">ICD codes provided on the ACSQHCs website</w:t>
              </w:r>
            </w:hyperlink>
            <w:r>
              <w:rPr>
                <w:rStyle w:val="row-content-rich-text"/>
              </w:rPr>
              <w:t xml:space="preserve"> or through other prospective or retrospective methods.</w:t>
            </w:r>
          </w:p>
          <w:p>
            <w:pPr>
              <w:spacing w:after="160"/>
            </w:pPr>
            <w:r>
              <w:rPr>
                <w:rStyle w:val="row-content-rich-text"/>
              </w:rPr>
              <w:t xml:space="preserve">Measurement of the numerator requires that patients with sepsis are surveyed using a patient-reported experience measure following discharge. The survey should include Question 6 of the Australian Hospital Patient Experience Question Set 'I was kept informed as much as I wanted about my treatment and care' or a similar question from another locally approved validated tool. Include patients who respond ‘Mostly’ or ‘Always’ in the numerator.</w:t>
            </w:r>
          </w:p>
          <w:p>
            <w:pPr>
              <w:spacing w:after="160"/>
            </w:pPr>
            <w:r>
              <w:rPr>
                <w:rStyle w:val="row-content-rich-text"/>
              </w:rPr>
              <w:t xml:space="preserve">The response of paediatric patients can be used, where considered appropriate.</w:t>
            </w:r>
          </w:p>
          <w:p>
            <w:pPr>
              <w:spacing w:after="160"/>
            </w:pPr>
            <w:r>
              <w:rPr>
                <w:rStyle w:val="row-content-rich-text"/>
              </w:rPr>
              <w:t xml:space="preserve">The response of a carer or substitute decision maker for an adult or paediatric patient can be used, where considered appropriate.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sepsis who reported they were kept informed as much as they wanted about their treatment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sepsis.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should be analysed separately for adult and paediatric patient population groups, using local health service definitions of the paediatric patient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These indicators are for local quality improvement. Monitoring the implementation of the Sepsis Clinical Care Standard (ACSQHC, 2022) will assist in meeting some of the requirements of the National Safety and Quality Health Service Standards (ACSQHC,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Antimicrobial Stewardship Clinical Care Standard. Sydney: ACSQHC; 2020.</w:t>
            </w:r>
          </w:p>
          <w:p>
            <w:pPr/>
            <w:r>
              <w:rPr>
                <w:rStyle w:val="row-content-rich-text"/>
              </w:rPr>
              <w:t xml:space="preserve">Australian Commission on Safety and Quality in Health Care. Australian Hospital Patient Experience Question Set. 2018. Available from </w:t>
            </w:r>
            <w:hyperlink w:history="true" r:id="Rc23c2b92cb6a4719">
              <w:r>
                <w:rPr>
                  <w:rStyle w:val="Hyperlink"/>
                </w:rPr>
                <w:t xml:space="preserve">https://www.safetyandquality.gov.au/our-work/indicators-measurement-and-reporting/australian-hospital-patient-experience-question-set</w:t>
              </w:r>
            </w:hyperlink>
          </w:p>
        </w:tc>
      </w:tr>
    </w:tbl>
    <w:p>
      <w:r>
        <w:br/>
      </w:r>
    </w:p>
    <w:sectPr>
      <w:footerReference xmlns:r="http://schemas.openxmlformats.org/officeDocument/2006/relationships" w:type="default" r:id="Re70e73ab9fd04a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755654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9d63268fff4b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0e73ab9fd04afa" /><Relationship Type="http://schemas.openxmlformats.org/officeDocument/2006/relationships/header" Target="/word/header1.xml" Id="R85f8dd493fad4712" /><Relationship Type="http://schemas.openxmlformats.org/officeDocument/2006/relationships/settings" Target="/word/settings.xml" Id="Rcceaede1cb8e4ffa" /><Relationship Type="http://schemas.openxmlformats.org/officeDocument/2006/relationships/styles" Target="/word/styles.xml" Id="R31701de5aa134c4f" /><Relationship Type="http://schemas.openxmlformats.org/officeDocument/2006/relationships/hyperlink" Target="https://meteor.aihw.gov.au/RegistrationAuthority/18" TargetMode="External" Id="R71cdc495bf3845f6" /><Relationship Type="http://schemas.openxmlformats.org/officeDocument/2006/relationships/numbering" Target="/word/numbering.xml" Id="R4886bbcea2fd437a" /><Relationship Type="http://schemas.openxmlformats.org/officeDocument/2006/relationships/hyperlink" Target="https://meteor.aihw.gov.au/content/755589" TargetMode="External" Id="R4f481d84be3e4c68" /><Relationship Type="http://schemas.openxmlformats.org/officeDocument/2006/relationships/hyperlink" Target="https://meteor.aihw.gov.au/RegistrationAuthority/18" TargetMode="External" Id="R9739a1a616b44dd5" /><Relationship Type="http://schemas.openxmlformats.org/officeDocument/2006/relationships/hyperlink" Target="https://www.safetyandquality.gov.au/sepsis-codes" TargetMode="External" Id="Rfb7cdfefdd8a4417" /><Relationship Type="http://schemas.openxmlformats.org/officeDocument/2006/relationships/hyperlink" Target="https://www.safetyandquality.gov.au/our-work/indicators-measurement-and-reporting/australian-hospital-patient-experience-question-set" TargetMode="External" Id="Rc23c2b92cb6a4719" /></Relationships>
</file>

<file path=word/_rels/header1.xml.rels>&#65279;<?xml version="1.0" encoding="utf-8"?><Relationships xmlns="http://schemas.openxmlformats.org/package/2006/relationships"><Relationship Type="http://schemas.openxmlformats.org/officeDocument/2006/relationships/image" Target="/media/image.png" Id="R639d63268fff4b15" /></Relationships>
</file>