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8ea63fbc8540e1" /></Relationships>
</file>

<file path=word/document.xml><?xml version="1.0" encoding="utf-8"?>
<w:document xmlns:r="http://schemas.openxmlformats.org/officeDocument/2006/relationships" xmlns:w="http://schemas.openxmlformats.org/wordprocessingml/2006/main">
  <w:body>
    <w:p>
      <w:pPr>
        <w:pStyle w:val="Title"/>
      </w:pPr>
      <w:r>
        <w:t>Sepsis clinical care standard indicators: 3b-Proportion of patients with signs and symptoms of infection-related organ dysfunction who started their first dose of an empirical antimicrobial within 60 minutes of recognition</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Sepsis clinical care standard indicators: 3b-Proportion of patients with signs and symptoms of infection-related organ dysfunction who started their first dose of an empirical antimicrobial within 60 minutes of recognition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3b-Proportion of patients with signs and symptoms of infection-related organ dysfunction who started their first dose of an empirical antimicrobial within 60 minutes of recognition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aab89cf964daa">
              <w:r>
                <w:rPr>
                  <w:rStyle w:val="Hyperlink"/>
                  <w:color w:val="244061"/>
                </w:rPr>
                <w:t xml:space="preserve">Australian Commission on Safety and Quality in Health Care</w:t>
              </w:r>
            </w:hyperlink>
            <w:r>
              <w:rPr>
                <w:rStyle w:val="row-content"/>
                <w:color w:val="244061"/>
              </w:rPr>
              <w:t xml:space="preserve">, Standard 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signs and symptoms of infection-related organ dysfunction who started their first dose of an empirical antimicrobial within 60 minutes of recognition of the signs and symptoms of infection-related organ dysfunction.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Sepsis is a medical emergency with high mortality and adverse outcomes. Appropriate and timely antibiotic treatment is central to preventing death and life-threatening complications from sepsis.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f0f212f02c4587">
              <w:r>
                <w:rPr>
                  <w:rStyle w:val="Hyperlink"/>
                </w:rPr>
                <w:t xml:space="preserve">Clinical care standard indicators: Sepsis </w:t>
              </w:r>
            </w:hyperlink>
          </w:p>
          <w:p>
            <w:pPr>
              <w:spacing w:before="0" w:after="0"/>
            </w:pPr>
            <w:r>
              <w:rPr>
                <w:rStyle w:val="row-content"/>
                <w:color w:val="244061"/>
              </w:rPr>
              <w:t xml:space="preserve">       </w:t>
            </w:r>
            <w:hyperlink w:history="true" r:id="R689ea198ebc54a93">
              <w:r>
                <w:rPr>
                  <w:rStyle w:val="Hyperlink"/>
                  <w:color w:val="244061"/>
                </w:rPr>
                <w:t xml:space="preserve">Australian Commission on Safety and Quality in Health Care</w:t>
              </w:r>
            </w:hyperlink>
            <w:r>
              <w:rPr>
                <w:rStyle w:val="row-content"/>
                <w:color w:val="244061"/>
              </w:rPr>
              <w:t xml:space="preserve">, Standard 30/06/2022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admitted to hospital and non-admitted patients treated in the emergency department.</w:t>
            </w:r>
          </w:p>
          <w:p>
            <w:pPr>
              <w:spacing w:after="160"/>
            </w:pPr>
            <w:r>
              <w:rPr>
                <w:rStyle w:val="row-content-rich-text"/>
              </w:rPr>
              <w:t xml:space="preserve">Measurement of the numerator and denominator requires the hospital to routinely identify and record patients with signs and symptoms of infection-related organ dysfunction as specified in their locally approved sepsis clinical pathway (See </w:t>
            </w:r>
            <w:hyperlink w:history="true" r:id="Rf9f79f4386ea4ffd">
              <w:r>
                <w:rPr>
                  <w:rStyle w:val="Hyperlink"/>
                </w:rPr>
                <w:t xml:space="preserve">Indicator 2a</w:t>
              </w:r>
            </w:hyperlink>
            <w:r>
              <w:rPr>
                <w:rStyle w:val="row-content-rich-text"/>
              </w:rPr>
              <w:t xml:space="preserve">).</w:t>
            </w:r>
          </w:p>
          <w:p>
            <w:pPr>
              <w:spacing w:after="160"/>
            </w:pPr>
            <w:r>
              <w:rPr>
                <w:rStyle w:val="row-content-rich-text"/>
              </w:rPr>
              <w:t xml:space="preserve">Measurement of the numerator requires documentation of timestamps in the patient medical record of when the signs and symptoms of infection-related organ dysfunction were recognised by a clinician and when antimicrobials were administered.</w:t>
            </w:r>
          </w:p>
          <w:p>
            <w:pPr>
              <w:spacing w:after="160"/>
            </w:pPr>
            <w:r>
              <w:rPr>
                <w:rStyle w:val="row-content-rich-text"/>
              </w:rPr>
              <w:t xml:space="preserve">The time point for the first dose of one antimicrobial is when administration commences not when it is completed.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 the denominator who started their first dose of an empirical antimicrobial within 60 minutes of recognition of the signs and symptoms of infection-related organ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signs and symptoms of infection-related organ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 that do not have the capacity to reliably calculate this indicator may use alternative indicators such as:</w:t>
            </w:r>
          </w:p>
          <w:p>
            <w:pPr>
              <w:pStyle w:val="ListParagraph"/>
              <w:numPr>
                <w:ilvl w:val="0"/>
                <w:numId w:val="2"/>
              </w:numPr>
            </w:pPr>
            <w:r>
              <w:rPr>
                <w:rStyle w:val="row-content-rich-text"/>
              </w:rPr>
              <w:t xml:space="preserve">Proportion of patients with sepsis who presented to the emergency department who started their first dose of an empirical antimicrobial within 60 minutes of triage</w:t>
            </w:r>
          </w:p>
          <w:p>
            <w:pPr>
              <w:pStyle w:val="ListParagraph"/>
              <w:numPr>
                <w:ilvl w:val="0"/>
                <w:numId w:val="2"/>
              </w:numPr>
            </w:pPr>
            <w:r>
              <w:rPr>
                <w:rStyle w:val="row-content-rich-text"/>
              </w:rPr>
              <w:t xml:space="preserve">Proportion of admitted patients with sepsis who started their first dose of empiric antimicrobials within 60 minutes of escalation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Sepsis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da5e580ca3b5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755646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eeee4457ce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5e580ca3b54680" /><Relationship Type="http://schemas.openxmlformats.org/officeDocument/2006/relationships/header" Target="/word/header1.xml" Id="R19eccff245fc4390" /><Relationship Type="http://schemas.openxmlformats.org/officeDocument/2006/relationships/settings" Target="/word/settings.xml" Id="Ra4d8a34577e34326" /><Relationship Type="http://schemas.openxmlformats.org/officeDocument/2006/relationships/styles" Target="/word/styles.xml" Id="R082395fa512843dd" /><Relationship Type="http://schemas.openxmlformats.org/officeDocument/2006/relationships/hyperlink" Target="https://meteor.aihw.gov.au/RegistrationAuthority/18" TargetMode="External" Id="R2a7aab89cf964daa" /><Relationship Type="http://schemas.openxmlformats.org/officeDocument/2006/relationships/hyperlink" Target="https://meteor.aihw.gov.au/content/755589" TargetMode="External" Id="R8ff0f212f02c4587" /><Relationship Type="http://schemas.openxmlformats.org/officeDocument/2006/relationships/hyperlink" Target="https://meteor.aihw.gov.au/RegistrationAuthority/18" TargetMode="External" Id="R689ea198ebc54a93" /><Relationship Type="http://schemas.openxmlformats.org/officeDocument/2006/relationships/hyperlink" Target="https://meteor.aihw.gov.au/content/755595" TargetMode="External" Id="Rf9f79f4386ea4ffd" /><Relationship Type="http://schemas.openxmlformats.org/officeDocument/2006/relationships/numbering" Target="/word/numbering.xml" Id="R5bbed6b494194e1a" /></Relationships>
</file>

<file path=word/_rels/header1.xml.rels>&#65279;<?xml version="1.0" encoding="utf-8"?><Relationships xmlns="http://schemas.openxmlformats.org/package/2006/relationships"><Relationship Type="http://schemas.openxmlformats.org/officeDocument/2006/relationships/image" Target="/media/image.png" Id="R93eeee4457ce4137" /></Relationships>
</file>