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2b0b6db9c54a80" /></Relationships>
</file>

<file path=word/document.xml><?xml version="1.0" encoding="utf-8"?>
<w:document xmlns:r="http://schemas.openxmlformats.org/officeDocument/2006/relationships" xmlns:w="http://schemas.openxmlformats.org/wordprocessingml/2006/main">
  <w:body>
    <w:p>
      <w:pPr>
        <w:pStyle w:val="Title"/>
      </w:pPr>
      <w:r>
        <w:t>Sepsis clinical care standard indicators: 3a-Proportion of patients with sepsis who had blood cultures taken prior to starting antimicrobials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Sepsis clinical care standard indicators: 3a-Proportion of patients with sepsis who had blood cultures taken prior to starting antimicrobials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3a-Proportion of patients with sepsis who had blood cultures taken prior to starting antimicrobials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c6ea3528874bd2">
              <w:r>
                <w:rPr>
                  <w:rStyle w:val="Hyperlink"/>
                  <w:color w:val="244061"/>
                </w:rPr>
                <w:t xml:space="preserve">Australian Commission on Safety and Quality in Health Care</w:t>
              </w:r>
            </w:hyperlink>
            <w:r>
              <w:rPr>
                <w:rStyle w:val="row-content"/>
                <w:color w:val="244061"/>
              </w:rPr>
              <w:t xml:space="preserve">, Standard 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patients with sepsis who had blood cultures taken prior to starting antimicrobials.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Antimicrobial therapy is managed in line with the Antimicrobial Stewardship Clinical Care Standard.</w:t>
            </w:r>
          </w:p>
          <w:p>
            <w:pPr/>
            <w:r>
              <w:rPr>
                <w:rStyle w:val="row-content-rich-text"/>
              </w:rPr>
              <w:t xml:space="preserve">Blood cultures for microbiology testing should be taken for patients with suspected sepsis before starting antimicrobial therapy, when this will not delay urgent treatment. This ensures that treatment can be specific for the infecting organism, and that the most appropriate narrow-spectrum antimicrobial is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6c2654da09a4dac">
              <w:r>
                <w:rPr>
                  <w:rStyle w:val="Hyperlink"/>
                </w:rPr>
                <w:t xml:space="preserve">Clinical care standard indicators: Sepsis </w:t>
              </w:r>
            </w:hyperlink>
          </w:p>
          <w:p>
            <w:pPr>
              <w:spacing w:before="0" w:after="0"/>
            </w:pPr>
            <w:r>
              <w:rPr>
                <w:rStyle w:val="row-content"/>
                <w:color w:val="244061"/>
              </w:rPr>
              <w:t xml:space="preserve">       </w:t>
            </w:r>
            <w:hyperlink w:history="true" r:id="R9f4c97a063294b89">
              <w:r>
                <w:rPr>
                  <w:rStyle w:val="Hyperlink"/>
                  <w:color w:val="244061"/>
                </w:rPr>
                <w:t xml:space="preserve">Australian Commission on Safety and Quality in Health Care</w:t>
              </w:r>
            </w:hyperlink>
            <w:r>
              <w:rPr>
                <w:rStyle w:val="row-content"/>
                <w:color w:val="244061"/>
              </w:rPr>
              <w:t xml:space="preserve">, Standard 30/06/2022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and denominator include patients admitted to hospital and non-admitted patients treated in the emergency department.</w:t>
            </w:r>
          </w:p>
          <w:p>
            <w:pPr>
              <w:spacing w:after="160"/>
            </w:pPr>
            <w:r>
              <w:rPr>
                <w:rStyle w:val="row-content-rich-text"/>
              </w:rPr>
              <w:t xml:space="preserve">For the numerator and the denominator, patients with sepsis can be identified using the </w:t>
            </w:r>
            <w:hyperlink w:history="true" r:id="R505c2ebae55a45ec">
              <w:r>
                <w:rPr>
                  <w:rStyle w:val="Hyperlink"/>
                </w:rPr>
                <w:t xml:space="preserve">ICD codes provided on the ACSQHCs website</w:t>
              </w:r>
            </w:hyperlink>
            <w:r>
              <w:rPr>
                <w:rStyle w:val="row-content-rich-text"/>
              </w:rPr>
              <w:t xml:space="preserve"> or through other prospective or retrospective methods.</w:t>
            </w:r>
          </w:p>
          <w:p>
            <w:pPr>
              <w:spacing w:after="160"/>
            </w:pPr>
            <w:r>
              <w:rPr>
                <w:rStyle w:val="row-content-rich-text"/>
              </w:rPr>
              <w:t xml:space="preserve">Measurement of the numerator and denominator requires confirmation that the patient had sepsis and was administered antimicrobials during their hospitalisation. Exclude patients administered antimicrobials prior to being hospitalised.</w:t>
            </w:r>
          </w:p>
          <w:p>
            <w:pPr>
              <w:spacing w:after="160"/>
            </w:pPr>
            <w:r>
              <w:rPr>
                <w:rStyle w:val="row-content-rich-text"/>
              </w:rPr>
              <w:t xml:space="preserve">Measurement of the numerator requires documentation of timestamps in the patient medical record to determine when antimicrobials are administered in relation to the taking of blood cultures. </w:t>
            </w:r>
          </w:p>
          <w:p>
            <w:pPr>
              <w:spacing w:after="160"/>
            </w:pPr>
            <w:r>
              <w:rPr>
                <w:rStyle w:val="row-content-rich-text"/>
              </w:rPr>
              <w:t xml:space="preserve">For the numerator, the appropriate number of blood cultures to be taken prior to administration of antimicrobials is:</w:t>
            </w:r>
          </w:p>
          <w:p>
            <w:pPr>
              <w:pStyle w:val="ListParagraph"/>
              <w:numPr>
                <w:ilvl w:val="0"/>
                <w:numId w:val="2"/>
              </w:numPr>
            </w:pPr>
            <w:r>
              <w:rPr>
                <w:rStyle w:val="row-content-rich-text"/>
              </w:rPr>
              <w:t xml:space="preserve">At least two sets of blood cultures for adult and maternal care patients</w:t>
            </w:r>
          </w:p>
          <w:p>
            <w:pPr>
              <w:pStyle w:val="ListParagraph"/>
              <w:numPr>
                <w:ilvl w:val="0"/>
                <w:numId w:val="2"/>
              </w:numPr>
            </w:pPr>
            <w:r>
              <w:rPr>
                <w:rStyle w:val="row-content-rich-text"/>
              </w:rPr>
              <w:t xml:space="preserve">At least one set of blood cultures for neonatal and other paediatric care patients.</w:t>
            </w:r>
          </w:p>
          <w:p>
            <w:pPr>
              <w:spacing w:after="160"/>
            </w:pPr>
            <w:r>
              <w:rPr>
                <w:rStyle w:val="row-content-rich-text"/>
              </w:rPr>
              <w:t xml:space="preserve">Only those patients in the denominator where the appropriate number of blood cultures were taken before the patient was administered antimicrobials are valid for inclusion in the numerator.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in the denominator who had the appropriate number of blood cultures taken prior to administration of antimicrobials.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sepsis who were administered antimicrobials during their hospitalisation.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based on existing indicators in use in Australia. For example, the indicator included in the Sepsis Measurement Framework established by the Clinical Excellence Commission ‘Percentage of patients who have blood cultures prior to commencement of IV antibiotics’ (Clinical Excellence Commission,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These indicators are for local quality improvement. </w:t>
            </w:r>
            <w:r>
              <w:rPr>
                <w:rStyle w:val="row-content-rich-text"/>
              </w:rPr>
              <w:t xml:space="preserve">Monitoring the implementation of the Sepsis Clinical Care Standard (ACSQHC, 2022) will assist in meeting some of the requirements of the National Safety and Quality Health Service Standards (ACSQHC,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Antimicrobial Stewardship Clinical Care Standard. Sydney: ACSQHC; 2020.</w:t>
            </w:r>
          </w:p>
          <w:p>
            <w:pPr/>
            <w:r>
              <w:rPr>
                <w:rStyle w:val="row-content-rich-text"/>
              </w:rPr>
              <w:t xml:space="preserve">Clinical Excellence Commission (AU). Sepsis Measurement Framework 2021 May [cited 2021 June]. Available from: </w:t>
            </w:r>
            <w:hyperlink w:history="true" r:id="Rade6da40a7414e61">
              <w:r>
                <w:rPr>
                  <w:rStyle w:val="Hyperlink"/>
                </w:rPr>
                <w:t xml:space="preserve">https://www.cec.health.nsw.gov.au/__data/assets/pdf_file/0009/647451/Sepsis-Measurement-Framework.pdf</w:t>
              </w:r>
            </w:hyperlink>
          </w:p>
        </w:tc>
      </w:tr>
    </w:tbl>
    <w:p>
      <w:r>
        <w:br/>
      </w:r>
    </w:p>
    <w:sectPr>
      <w:footerReference xmlns:r="http://schemas.openxmlformats.org/officeDocument/2006/relationships" w:type="default" r:id="R4ca8389df22743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755644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d8a2c0fcd540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a8389df22743f7" /><Relationship Type="http://schemas.openxmlformats.org/officeDocument/2006/relationships/header" Target="/word/header1.xml" Id="R2df8e91d83664fc0" /><Relationship Type="http://schemas.openxmlformats.org/officeDocument/2006/relationships/settings" Target="/word/settings.xml" Id="R2ecc5ddc495b4845" /><Relationship Type="http://schemas.openxmlformats.org/officeDocument/2006/relationships/styles" Target="/word/styles.xml" Id="R930c2711330d43fd" /><Relationship Type="http://schemas.openxmlformats.org/officeDocument/2006/relationships/hyperlink" Target="https://meteor.aihw.gov.au/RegistrationAuthority/18" TargetMode="External" Id="R81c6ea3528874bd2" /><Relationship Type="http://schemas.openxmlformats.org/officeDocument/2006/relationships/hyperlink" Target="https://meteor.aihw.gov.au/content/755589" TargetMode="External" Id="Rb6c2654da09a4dac" /><Relationship Type="http://schemas.openxmlformats.org/officeDocument/2006/relationships/hyperlink" Target="https://meteor.aihw.gov.au/RegistrationAuthority/18" TargetMode="External" Id="R9f4c97a063294b89" /><Relationship Type="http://schemas.openxmlformats.org/officeDocument/2006/relationships/hyperlink" Target="https://www.safetyandquality.gov.au/sepsis-codes" TargetMode="External" Id="R505c2ebae55a45ec" /><Relationship Type="http://schemas.openxmlformats.org/officeDocument/2006/relationships/numbering" Target="/word/numbering.xml" Id="Rd56c9c6599f04ccb" /><Relationship Type="http://schemas.openxmlformats.org/officeDocument/2006/relationships/hyperlink" Target="https://www.cec.health.nsw.gov.au/__data/assets/pdf_file/0009/647451/Sepsis-Measurement-Framework.pdf" TargetMode="External" Id="Rade6da40a7414e61" /></Relationships>
</file>

<file path=word/_rels/header1.xml.rels>&#65279;<?xml version="1.0" encoding="utf-8"?><Relationships xmlns="http://schemas.openxmlformats.org/package/2006/relationships"><Relationship Type="http://schemas.openxmlformats.org/officeDocument/2006/relationships/image" Target="/media/image.png" Id="R03d8a2c0fcd54053" /></Relationships>
</file>