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9e10b1562a40f6" /></Relationships>
</file>

<file path=word/document.xml><?xml version="1.0" encoding="utf-8"?>
<w:document xmlns:r="http://schemas.openxmlformats.org/officeDocument/2006/relationships" xmlns:w="http://schemas.openxmlformats.org/wordprocessingml/2006/main">
  <w:body>
    <w:p>
      <w:pPr>
        <w:pStyle w:val="Title"/>
      </w:pPr>
      <w:r>
        <w:t>Sepsis clinical care standard indicators: 2c-Proportion of patients with sepsis who were treated according to the locally approved sepsis clinical pathway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Sepsis clinical care standard indicators: 2c-Proportion of patients with sepsis who were treated according to the locally approved sepsis clinical pathway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2c-Proportion of patients with sepsis who were treated according to the locally approved sepsis clinical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b9669322444b65">
              <w:r>
                <w:rPr>
                  <w:rStyle w:val="Hyperlink"/>
                  <w:color w:val="244061"/>
                </w:rPr>
                <w:t xml:space="preserve">Australian Commission on Safety and Quality in Health Care</w:t>
              </w:r>
            </w:hyperlink>
            <w:r>
              <w:rPr>
                <w:rStyle w:val="row-content"/>
                <w:color w:val="244061"/>
              </w:rPr>
              <w:t xml:space="preserve">, Standard 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sepsis who were treated according to the locally approved sepsis clinical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Sepsis is a time-critical medical emergency. Increased adherence to sepsis clinical pathways, which include resuscitation and management bundles of care, have been associated with reduced mortality.</w:t>
            </w:r>
          </w:p>
          <w:p>
            <w:pPr/>
            <w:r>
              <w:rPr>
                <w:rStyle w:val="row-content-rich-text"/>
              </w:rPr>
              <w:t xml:space="preserve">All patients with suspected sepsis should be assessed and treated in accordance with the locally approved clinical pathway. This indicator focuses on patients with a confirmed diagnosis of sepsis to simplify data collection.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f89d81b34343c8">
              <w:r>
                <w:rPr>
                  <w:rStyle w:val="Hyperlink"/>
                </w:rPr>
                <w:t xml:space="preserve">Clinical care standard indicators: Sepsis </w:t>
              </w:r>
            </w:hyperlink>
          </w:p>
          <w:p>
            <w:pPr>
              <w:pStyle w:val="registration-status"/>
              <w:spacing w:before="0" w:after="0"/>
            </w:pPr>
            <w:hyperlink w:history="true" r:id="Rae8e2c9e1a7642ed">
              <w:r>
                <w:rPr>
                  <w:rStyle w:val="Hyperlink"/>
                  <w:color w:val="244061"/>
                </w:rPr>
                <w:t xml:space="preserve">Australian Commission on Safety and Quality in Health Care</w:t>
              </w:r>
            </w:hyperlink>
            <w:r>
              <w:rPr>
                <w:rStyle w:val="row-content"/>
                <w:color w:val="244061"/>
              </w:rPr>
              <w:t xml:space="preserve">, Standard 30/06/2022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 only be calculated by health service organisations where a locally approved sepsis clinical pathway has been established, given the numerator requires an assessment of compliance with the pathway.</w:t>
            </w:r>
          </w:p>
          <w:p>
            <w:pPr>
              <w:spacing w:after="160"/>
            </w:pPr>
            <w:r>
              <w:rPr>
                <w:rStyle w:val="row-content-rich-text"/>
              </w:rPr>
              <w:t xml:space="preserve">The numerator and denominator include patients admitted to hospital and non-admitted patients treated in the emergency department.</w:t>
            </w:r>
          </w:p>
          <w:p>
            <w:pPr>
              <w:spacing w:after="160"/>
            </w:pPr>
            <w:r>
              <w:rPr>
                <w:rStyle w:val="row-content-rich-text"/>
              </w:rPr>
              <w:t xml:space="preserve">For the numerator and the denominator, patients with sepsis can be identified using the </w:t>
            </w:r>
            <w:hyperlink w:history="true" r:id="Ref9e9e386d914fcd">
              <w:r>
                <w:rPr>
                  <w:rStyle w:val="Hyperlink"/>
                </w:rPr>
                <w:t xml:space="preserve">ICD codes provided on the ACSQHCs website</w:t>
              </w:r>
            </w:hyperlink>
            <w:r>
              <w:rPr>
                <w:rStyle w:val="row-content-rich-text"/>
              </w:rPr>
              <w:t xml:space="preserve"> or through other prospective or retrospective methods. </w:t>
            </w:r>
          </w:p>
          <w:p>
            <w:pPr>
              <w:spacing w:after="160"/>
            </w:pPr>
            <w:r>
              <w:rPr>
                <w:rStyle w:val="row-content-rich-text"/>
              </w:rPr>
              <w:t xml:space="preserve">Measurement of the numerator requires routine documentation of care articulated in the locally approved sepsis clinical pathway in the patient’s medical record.</w:t>
            </w:r>
          </w:p>
          <w:p>
            <w:pPr>
              <w:spacing w:after="160"/>
            </w:pPr>
            <w:r>
              <w:rPr>
                <w:rStyle w:val="row-content-rich-text"/>
              </w:rPr>
              <w:t xml:space="preserve">For the numerator 'treated according to the locally approved sepsis clinical pathway' means that all relevant clinical decision-making processes, triggers, interventions and time frames for care specified in the pathway were met and documented in the  patient's medical record. Patients should be included in the numerator if the care described in the pathway is provided, regardless of whether use of the pathway has been documented.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sepsis who were treated according to the locally approved sepsis clinical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sepsis.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w:t>
            </w:r>
            <w:r>
              <w:rPr>
                <w:rStyle w:val="row-content-rich-text"/>
              </w:rPr>
              <w:t xml:space="preserve">Monitoring the implementation of the Sepsis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1691eee51f3447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755642</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53484681114f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91eee51f34472f" /><Relationship Type="http://schemas.openxmlformats.org/officeDocument/2006/relationships/header" Target="/word/header1.xml" Id="R542135fe9c2442d6" /><Relationship Type="http://schemas.openxmlformats.org/officeDocument/2006/relationships/settings" Target="/word/settings.xml" Id="R78b55a78acb04904" /><Relationship Type="http://schemas.openxmlformats.org/officeDocument/2006/relationships/styles" Target="/word/styles.xml" Id="R3f33384d91cb4529" /><Relationship Type="http://schemas.openxmlformats.org/officeDocument/2006/relationships/hyperlink" Target="https://meteor.aihw.gov.au/RegistrationAuthority/18" TargetMode="External" Id="R5fb9669322444b65" /><Relationship Type="http://schemas.openxmlformats.org/officeDocument/2006/relationships/hyperlink" Target="https://meteor.aihw.gov.au/content/755589" TargetMode="External" Id="Rfcf89d81b34343c8" /><Relationship Type="http://schemas.openxmlformats.org/officeDocument/2006/relationships/hyperlink" Target="https://meteor.aihw.gov.au/RegistrationAuthority/18" TargetMode="External" Id="Rae8e2c9e1a7642ed" /><Relationship Type="http://schemas.openxmlformats.org/officeDocument/2006/relationships/hyperlink" Target="https://www.safetyandquality.gov.au/sepsis-codes" TargetMode="External" Id="Ref9e9e386d914fcd" /></Relationships>
</file>

<file path=word/_rels/header1.xml.rels>&#65279;<?xml version="1.0" encoding="utf-8"?><Relationships xmlns="http://schemas.openxmlformats.org/package/2006/relationships"><Relationship Type="http://schemas.openxmlformats.org/officeDocument/2006/relationships/image" Target="/media/image.png" Id="R9a53484681114f1e" /></Relationships>
</file>