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d3c84af380491b" /></Relationships>
</file>

<file path=word/document.xml><?xml version="1.0" encoding="utf-8"?>
<w:document xmlns:r="http://schemas.openxmlformats.org/officeDocument/2006/relationships" xmlns:w="http://schemas.openxmlformats.org/wordprocessingml/2006/main">
  <w:body>
    <w:p>
      <w:pPr>
        <w:pStyle w:val="Title"/>
      </w:pPr>
      <w:r>
        <w:t>Opioid analgesic stewardship: 9d - Proportion of patients separated from hospital with a supply or prescription of opioid analgesics whose medication management plan was given to the patient or carer on separation</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Opioid analgesic stewardship: 9d - Proportion of patients separated from hospital with a supply or prescription of opioid analgesics whose medication management plan was given to the patient or carer on separation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9d - Proportion of patients separated from hospital with a supply or prescription of opioid analgesics whose medication management plan was given to the patient or carer on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2a9300f8ab4dca">
              <w:r>
                <w:rPr>
                  <w:rStyle w:val="Hyperlink"/>
                  <w:color w:val="244061"/>
                </w:rPr>
                <w:t xml:space="preserve">Australian Commission on Safety and Quality in Health Care</w:t>
              </w:r>
            </w:hyperlink>
            <w:r>
              <w:rPr>
                <w:rStyle w:val="row-content"/>
                <w:color w:val="244061"/>
              </w:rPr>
              <w:t xml:space="preserve">, Standard 27/04/2022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admitted and emergency department patients where the patient physically departed from the hospital with a supply or prescription of opioid analgesics whose medication management plan was given to the patient or carer on departure.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medication management plan describes why opioid analgesics are prescribed and how to reduce and stop taking them. The plan should be provided to patients and/or their carers and to the patient’s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91852fd18f4548">
              <w:r>
                <w:rPr>
                  <w:rStyle w:val="Hyperlink"/>
                </w:rPr>
                <w:t xml:space="preserve">Clinical care standard indicators: Opioid Analgesic Stewardship in Acute Pain - Acute care edition</w:t>
              </w:r>
            </w:hyperlink>
          </w:p>
          <w:p>
            <w:pPr>
              <w:spacing w:before="0" w:after="0"/>
            </w:pPr>
            <w:r>
              <w:rPr>
                <w:rStyle w:val="row-content"/>
                <w:color w:val="244061"/>
              </w:rPr>
              <w:t xml:space="preserve">       </w:t>
            </w:r>
            <w:hyperlink w:history="true" r:id="Rcd5fa7d4b18b4b08">
              <w:r>
                <w:rPr>
                  <w:rStyle w:val="Hyperlink"/>
                  <w:color w:val="244061"/>
                </w:rPr>
                <w:t xml:space="preserve">Australian Commission on Safety and Quality in Health Care</w:t>
              </w:r>
            </w:hyperlink>
            <w:r>
              <w:rPr>
                <w:rStyle w:val="row-content"/>
                <w:color w:val="244061"/>
              </w:rPr>
              <w:t xml:space="preserve">, Standard 27/04/2022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 include patients admitted to hospital and non-admitted patients treated in the emergency department.</w:t>
            </w:r>
          </w:p>
          <w:p>
            <w:pPr>
              <w:spacing w:after="160"/>
            </w:pPr>
            <w:r>
              <w:rPr>
                <w:rStyle w:val="row-content-rich-text"/>
              </w:rPr>
              <w:t xml:space="preserve">For admitted patients ‘physically departed’ means on separation from hospital to their usual place of residence, which may include a residential care facility. For non-admitted emergency department patients, it means at the end of the emergency department stay when the patient departs the hospital without being admitted to the same hospital or transferred to another hospital.</w:t>
            </w:r>
          </w:p>
          <w:p>
            <w:pPr>
              <w:spacing w:after="160"/>
            </w:pPr>
            <w:r>
              <w:rPr>
                <w:rStyle w:val="row-content-rich-text"/>
              </w:rPr>
              <w:t xml:space="preserve">The</w:t>
            </w:r>
            <w:hyperlink w:history="true" r:id="R9d0a143d9a1444e0">
              <w:r>
                <w:rPr>
                  <w:rStyle w:val="Hyperlink"/>
                </w:rPr>
                <w:t xml:space="preserve"> Separation mode</w:t>
              </w:r>
            </w:hyperlink>
            <w:r>
              <w:rPr>
                <w:rStyle w:val="row-content-rich-text"/>
              </w:rPr>
              <w:t xml:space="preserve"> data element for admitted patients and the </w:t>
            </w:r>
            <w:hyperlink w:history="true" r:id="R6beb6ae651ed4896">
              <w:r>
                <w:rPr>
                  <w:rStyle w:val="Hyperlink"/>
                </w:rPr>
                <w:t xml:space="preserve">Episode end status</w:t>
              </w:r>
            </w:hyperlink>
            <w:r>
              <w:rPr>
                <w:rStyle w:val="row-content-rich-text"/>
              </w:rPr>
              <w:t xml:space="preserve"> data element for non-admitted emergency department patients can be used to help identify denominator cases. Inclusion values for these data elements are:</w:t>
            </w:r>
          </w:p>
          <w:p>
            <w:pPr>
              <w:pStyle w:val="ListParagraph"/>
              <w:numPr>
                <w:ilvl w:val="0"/>
                <w:numId w:val="2"/>
              </w:numPr>
            </w:pPr>
            <w:r>
              <w:rPr>
                <w:rStyle w:val="row-content-rich-text"/>
                <w:b/>
              </w:rPr>
              <w:t xml:space="preserve">Separation mode</w:t>
            </w:r>
          </w:p>
          <w:p>
            <w:pPr>
              <w:spacing w:after="160"/>
            </w:pPr>
            <w:r>
              <w:rPr>
                <w:rStyle w:val="row-content-rich-text"/>
              </w:rPr>
              <w:t xml:space="preserve">21 - Discharge/transfer to a residential aged care service, which is not the usual place of residence</w:t>
            </w:r>
          </w:p>
          <w:p>
            <w:pPr>
              <w:spacing w:after="160"/>
            </w:pPr>
            <w:r>
              <w:rPr>
                <w:rStyle w:val="row-content-rich-text"/>
              </w:rPr>
              <w:t xml:space="preserve">22 - Discharge/transfer to a residential aged care service, which is the usual place of residence</w:t>
            </w:r>
          </w:p>
          <w:p>
            <w:pPr>
              <w:spacing w:after="160"/>
            </w:pPr>
            <w:r>
              <w:rPr>
                <w:rStyle w:val="row-content-rich-text"/>
              </w:rPr>
              <w:t xml:space="preserve">90 - Other: includes discharge to usual residence (not including residential aged care), own accommodation/welfare institution (includes prisons, hostels and group homes providing primarily welfare services)</w:t>
            </w:r>
          </w:p>
          <w:p>
            <w:pPr>
              <w:pStyle w:val="ListParagraph"/>
              <w:numPr>
                <w:ilvl w:val="0"/>
                <w:numId w:val="3"/>
              </w:numPr>
            </w:pPr>
            <w:r>
              <w:rPr>
                <w:rStyle w:val="row-content-rich-text"/>
                <w:b/>
              </w:rPr>
              <w:t xml:space="preserve">Episode end status</w:t>
            </w:r>
          </w:p>
          <w:p>
            <w:pPr>
              <w:spacing w:after="160"/>
            </w:pPr>
            <w:r>
              <w:rPr>
                <w:rStyle w:val="row-content-rich-text"/>
                <w:b/>
              </w:rPr>
              <w:t xml:space="preserve">​</w:t>
            </w:r>
            <w:r>
              <w:rPr>
                <w:rStyle w:val="row-content-rich-text"/>
              </w:rPr>
              <w:t xml:space="preserve">2 - Emergency department stay completed - departed without being transferred to a short stay unit, hospital-in-the-home or other admitted patient care unit in this hospital or referred to another hospital.</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in the denominator where a medication management plan was given to the patient and/or their carer upon their physical departure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physically departed from the hospital with a supply or prescription of opioid analgesics.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based on existing indicators in use in Australia. For example, the following indicator by Alfred Health in Victoria 'Proportion of patients provided with an analgesic pain management plan at discharge +/- analgesic leaflets' (provided directly to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Opioid Analgesic Stewardship in Acute Pain Clinical Care Standard – Acute care edition. Sydney: ACSQHC; 2022.</w:t>
            </w:r>
          </w:p>
        </w:tc>
      </w:tr>
    </w:tbl>
    <w:p>
      <w:r>
        <w:br/>
      </w:r>
    </w:p>
    <w:sectPr>
      <w:footerReference xmlns:r="http://schemas.openxmlformats.org/officeDocument/2006/relationships" w:type="default" r:id="Rfa597d8aadb64f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755578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c377203d72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597d8aadb64f5a" /><Relationship Type="http://schemas.openxmlformats.org/officeDocument/2006/relationships/header" Target="/word/header1.xml" Id="R4469b097aae44afb" /><Relationship Type="http://schemas.openxmlformats.org/officeDocument/2006/relationships/settings" Target="/word/settings.xml" Id="R22c843b81a76492f" /><Relationship Type="http://schemas.openxmlformats.org/officeDocument/2006/relationships/styles" Target="/word/styles.xml" Id="R346c2562ee5740ff" /><Relationship Type="http://schemas.openxmlformats.org/officeDocument/2006/relationships/hyperlink" Target="https://meteor.aihw.gov.au/RegistrationAuthority/18" TargetMode="External" Id="Rfa2a9300f8ab4dca" /><Relationship Type="http://schemas.openxmlformats.org/officeDocument/2006/relationships/hyperlink" Target="https://meteor.aihw.gov.au/content/755544" TargetMode="External" Id="Rfb91852fd18f4548" /><Relationship Type="http://schemas.openxmlformats.org/officeDocument/2006/relationships/hyperlink" Target="https://meteor.aihw.gov.au/RegistrationAuthority/18" TargetMode="External" Id="Rcd5fa7d4b18b4b08" /><Relationship Type="http://schemas.openxmlformats.org/officeDocument/2006/relationships/hyperlink" Target="https://meteor.aihw.gov.au/content/722644" TargetMode="External" Id="R9d0a143d9a1444e0" /><Relationship Type="http://schemas.openxmlformats.org/officeDocument/2006/relationships/hyperlink" Target="https://meteor.aihw.gov.au/content/746709" TargetMode="External" Id="R6beb6ae651ed4896" /><Relationship Type="http://schemas.openxmlformats.org/officeDocument/2006/relationships/numbering" Target="/word/numbering.xml" Id="R54285ea2301c4123" /></Relationships>
</file>

<file path=word/_rels/header1.xml.rels>&#65279;<?xml version="1.0" encoding="utf-8"?><Relationships xmlns="http://schemas.openxmlformats.org/package/2006/relationships"><Relationship Type="http://schemas.openxmlformats.org/officeDocument/2006/relationships/image" Target="/media/image.png" Id="R96c377203d7242d6" /></Relationships>
</file>