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03d5716674e7b" /></Relationships>
</file>

<file path=word/document.xml><?xml version="1.0" encoding="utf-8"?>
<w:document xmlns:r="http://schemas.openxmlformats.org/officeDocument/2006/relationships" xmlns:w="http://schemas.openxmlformats.org/wordprocessingml/2006/main">
  <w:body>
    <w:p>
      <w:pPr>
        <w:pStyle w:val="Title"/>
      </w:pPr>
      <w:r>
        <w:t>Opioid analgesic stewardship: 2a - Proportion of patients who received opioid analgesics who had pain and functional assessments prior to being prescribed opioid analgesics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2a - Proportion of patients who received opioid analgesics who had pain and functional assessments prior to being prescribed opioid analgesics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2a - Proportion of patients who received opioid analgesics who had pain and functional assessments prior to being prescribed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f61f9f2704dc3">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who received opioid analgesics where the patient had both pain and functional assessments completed before being prescribed opioid analgesics and the outcomes of the assessments were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Analgesic prescribing for a patient with acute pain should be guided by both its expected severity and assessment of patient-reported pain intensity and the impact of pain on the patient’s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6676b4776b45aa">
              <w:r>
                <w:rPr>
                  <w:rStyle w:val="Hyperlink"/>
                </w:rPr>
                <w:t xml:space="preserve">Clinical care standard indicators: Opioid Analgesic Stewardship in Acute Pain - Acute care edition</w:t>
              </w:r>
            </w:hyperlink>
          </w:p>
          <w:p>
            <w:pPr>
              <w:spacing w:before="0" w:after="0"/>
            </w:pPr>
            <w:r>
              <w:rPr>
                <w:rStyle w:val="row-content"/>
                <w:color w:val="244061"/>
              </w:rPr>
              <w:t xml:space="preserve">       </w:t>
            </w:r>
            <w:hyperlink w:history="true" r:id="R4dd6b010db6e464e">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spacing w:after="160"/>
            </w:pPr>
            <w:r>
              <w:rPr>
                <w:rStyle w:val="row-content-rich-text"/>
              </w:rPr>
              <w:t xml:space="preserve">The numerator includes patients where the outcomes of both a pain and functional assessment is documented in the patient’s medical record AND both assessments are undertaken before the patient is prescribed opioid analgesics.</w:t>
            </w:r>
          </w:p>
          <w:p>
            <w:pPr>
              <w:spacing w:after="160"/>
            </w:pPr>
            <w:r>
              <w:rPr>
                <w:rStyle w:val="row-content-rich-text"/>
              </w:rPr>
              <w:t xml:space="preserve">Several evidence-based tools for assessing pain and function are available. Validated tools for measuring pain in neonates, infants and children are available, and the appropriate tool should be selected based on the child’s age and developmental stage.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that had pain and functional assessments prior to being prescribed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who received opioid analgesics while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 may wish to separately monitor documentation of pain and functional assessments to target actions for quality improvement.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Opioid Analgesic Stewardship in Acute Pain Clinical Care Standard – Acute care edition. Sydney: ACSQHC; 2022</w:t>
            </w:r>
          </w:p>
        </w:tc>
      </w:tr>
    </w:tbl>
    <w:p>
      <w:r>
        <w:br/>
      </w:r>
    </w:p>
    <w:sectPr>
      <w:footerReference xmlns:r="http://schemas.openxmlformats.org/officeDocument/2006/relationships" w:type="default" r:id="R78d433e8b981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c2d6a129ad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d433e8b9814f47" /><Relationship Type="http://schemas.openxmlformats.org/officeDocument/2006/relationships/header" Target="/word/header1.xml" Id="Rb9ed7d5e03d9451a" /><Relationship Type="http://schemas.openxmlformats.org/officeDocument/2006/relationships/settings" Target="/word/settings.xml" Id="R8bbfd6f55da540f8" /><Relationship Type="http://schemas.openxmlformats.org/officeDocument/2006/relationships/styles" Target="/word/styles.xml" Id="R53163e117b784a46" /><Relationship Type="http://schemas.openxmlformats.org/officeDocument/2006/relationships/hyperlink" Target="https://meteor.aihw.gov.au/RegistrationAuthority/18" TargetMode="External" Id="Rc09f61f9f2704dc3" /><Relationship Type="http://schemas.openxmlformats.org/officeDocument/2006/relationships/hyperlink" Target="https://meteor.aihw.gov.au/content/755544" TargetMode="External" Id="Rde6676b4776b45aa" /><Relationship Type="http://schemas.openxmlformats.org/officeDocument/2006/relationships/hyperlink" Target="https://meteor.aihw.gov.au/RegistrationAuthority/18" TargetMode="External" Id="R4dd6b010db6e464e" /></Relationships>
</file>

<file path=word/_rels/header1.xml.rels>&#65279;<?xml version="1.0" encoding="utf-8"?><Relationships xmlns="http://schemas.openxmlformats.org/package/2006/relationships"><Relationship Type="http://schemas.openxmlformats.org/officeDocument/2006/relationships/image" Target="/media/image.png" Id="R9fc2d6a129ad4f29" /></Relationships>
</file>