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5e2ac5426d42ee" /></Relationships>
</file>

<file path=word/document.xml><?xml version="1.0" encoding="utf-8"?>
<w:document xmlns:r="http://schemas.openxmlformats.org/officeDocument/2006/relationships" xmlns:w="http://schemas.openxmlformats.org/wordprocessingml/2006/main">
  <w:body>
    <w:p>
      <w:pPr>
        <w:pStyle w:val="Title"/>
      </w:pPr>
      <w:r>
        <w:t>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6858d105b4dec">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 particular type of serious incident that is </w:t>
            </w:r>
            <w:r>
              <w:rPr>
                <w:rStyle w:val="row-content-rich-text"/>
                <w:b/>
              </w:rPr>
              <w:t xml:space="preserve">wholly preventable </w:t>
            </w:r>
            <w:r>
              <w:rPr>
                <w:rStyle w:val="row-content-rich-text"/>
              </w:rPr>
              <w:t xml:space="preserve">and has caused </w:t>
            </w:r>
            <w:r>
              <w:rPr>
                <w:rStyle w:val="row-content-rich-text"/>
                <w:b/>
              </w:rPr>
              <w:t xml:space="preserve">serious harm</w:t>
            </w:r>
            <w:r>
              <w:rPr>
                <w:rStyle w:val="row-content-rich-text"/>
              </w:rPr>
              <w:t xml:space="preserve"> to, or the </w:t>
            </w:r>
            <w:r>
              <w:rPr>
                <w:rStyle w:val="row-content-rich-text"/>
                <w:b/>
              </w:rPr>
              <w:t xml:space="preserve">death</w:t>
            </w:r>
            <w:r>
              <w:rPr>
                <w:rStyle w:val="row-content-rich-text"/>
              </w:rPr>
              <w:t xml:space="preserve"> of, a patient.</w:t>
            </w:r>
          </w:p>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p>
            <w:pPr>
              <w:spacing w:after="160"/>
            </w:pPr>
            <w:r>
              <w:rPr>
                <w:rStyle w:val="row-content-rich-text"/>
              </w:rPr>
              <w:t xml:space="preserve">Sentinel events are further specified into eight events:</w:t>
            </w:r>
          </w:p>
          <w:p>
            <w:pPr>
              <w:pStyle w:val="ListParagraph"/>
              <w:numPr>
                <w:ilvl w:val="0"/>
                <w:numId w:val="3"/>
              </w:numPr>
            </w:pPr>
            <w:r>
              <w:rPr>
                <w:rStyle w:val="row-content-rich-text"/>
              </w:rPr>
              <w:t xml:space="preserve">Haemolytic blood transfusion reaction resulting from ABO (blood group) incompatibility</w:t>
            </w:r>
          </w:p>
          <w:p>
            <w:pPr>
              <w:pStyle w:val="ListParagraph"/>
              <w:numPr>
                <w:ilvl w:val="0"/>
                <w:numId w:val="3"/>
              </w:numPr>
            </w:pPr>
            <w:r>
              <w:rPr>
                <w:rStyle w:val="row-content-rich-text"/>
              </w:rPr>
              <w:t xml:space="preserve">Infant discharge to the wrong family</w:t>
            </w:r>
          </w:p>
          <w:p>
            <w:pPr>
              <w:pStyle w:val="ListParagraph"/>
              <w:numPr>
                <w:ilvl w:val="0"/>
                <w:numId w:val="3"/>
              </w:numPr>
            </w:pPr>
            <w:r>
              <w:rPr>
                <w:rStyle w:val="row-content-rich-text"/>
              </w:rPr>
              <w:t xml:space="preserve">Intravascular gas embolism resulting in death or neurological damage</w:t>
            </w:r>
          </w:p>
          <w:p>
            <w:pPr>
              <w:pStyle w:val="ListParagraph"/>
              <w:numPr>
                <w:ilvl w:val="0"/>
                <w:numId w:val="3"/>
              </w:numPr>
            </w:pPr>
            <w:r>
              <w:rPr>
                <w:rStyle w:val="row-content-rich-text"/>
              </w:rPr>
              <w:t xml:space="preserve">Maternal death associated with pregnancy, birth or the puerperium</w:t>
            </w:r>
          </w:p>
          <w:p>
            <w:pPr>
              <w:pStyle w:val="ListParagraph"/>
              <w:numPr>
                <w:ilvl w:val="0"/>
                <w:numId w:val="3"/>
              </w:numPr>
            </w:pPr>
            <w:r>
              <w:rPr>
                <w:rStyle w:val="row-content-rich-text"/>
              </w:rPr>
              <w:t xml:space="preserve">Medication error leading to the death of a patient reasonably believed to be due to incorrect administration of drugs</w:t>
            </w:r>
          </w:p>
          <w:p>
            <w:pPr>
              <w:pStyle w:val="ListParagraph"/>
              <w:numPr>
                <w:ilvl w:val="0"/>
                <w:numId w:val="3"/>
              </w:numPr>
            </w:pPr>
            <w:r>
              <w:rPr>
                <w:rStyle w:val="row-content-rich-text"/>
              </w:rPr>
              <w:t xml:space="preserve">Procedures involving the wrong patient or body part resulting in death or major permanent loss of function</w:t>
            </w:r>
          </w:p>
          <w:p>
            <w:pPr>
              <w:pStyle w:val="ListParagraph"/>
              <w:numPr>
                <w:ilvl w:val="0"/>
                <w:numId w:val="3"/>
              </w:numPr>
            </w:pPr>
            <w:r>
              <w:rPr>
                <w:rStyle w:val="row-content-rich-text"/>
              </w:rPr>
              <w:t xml:space="preserve">Retained instruments or other material after surgery requiring re-operation or further surgical procedure</w:t>
            </w:r>
          </w:p>
          <w:p>
            <w:pPr>
              <w:pStyle w:val="ListParagraph"/>
              <w:numPr>
                <w:ilvl w:val="0"/>
                <w:numId w:val="3"/>
              </w:numPr>
            </w:pPr>
            <w:r>
              <w:rPr>
                <w:rStyle w:val="row-content-rich-text"/>
              </w:rPr>
              <w:t xml:space="preserve">Suicide of a patient in an inpatient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is at the national, state and 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specified events corresponds to what is listed in the Productivity Commission’s </w:t>
            </w:r>
            <w:r>
              <w:rPr>
                <w:rStyle w:val="row-content-rich-text"/>
                <w:i/>
              </w:rPr>
              <w:t xml:space="preserve">Report on Government Services (RoGS)</w:t>
            </w:r>
            <w:r>
              <w:rPr>
                <w:rStyle w:val="row-content-rich-text"/>
              </w:rPr>
              <w:t xml:space="preserve"> (PC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PC (Productivity Commission) (2022) Report on Government Services. Canberra: PC. Viewed 22 June 2022, </w:t>
            </w:r>
            <w:hyperlink w:history="true" r:id="R208d5d9374144c31">
              <w:r>
                <w:rPr>
                  <w:rStyle w:val="Hyperlink"/>
                </w:rPr>
                <w:t xml:space="preserve">https://www.pc.gov.au/research/ongoing/report-on-government-services</w:t>
              </w:r>
            </w:hyperlink>
          </w:p>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5df43ce4f1e48da">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08a05b63454a36">
              <w:r>
                <w:rPr>
                  <w:rStyle w:val="Hyperlink"/>
                </w:rPr>
                <w:t xml:space="preserve">Sentinel event</w:t>
              </w:r>
            </w:hyperlink>
          </w:p>
          <w:p>
            <w:pPr>
              <w:spacing w:before="0" w:after="0"/>
            </w:pPr>
            <w:r>
              <w:rPr>
                <w:rStyle w:val="row-content"/>
                <w:color w:val="244061"/>
              </w:rPr>
              <w:t xml:space="preserve">       </w:t>
            </w:r>
            <w:hyperlink w:history="true" r:id="Ra2849dbd53db4818">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316966ddae43ba">
              <w:r>
                <w:rPr>
                  <w:rStyle w:val="Hyperlink"/>
                </w:rPr>
                <w:t xml:space="preserve">Establishment—number of sentinel events</w:t>
              </w:r>
            </w:hyperlink>
          </w:p>
          <w:p>
            <w:pPr>
              <w:spacing w:before="0" w:after="0"/>
            </w:pPr>
            <w:r>
              <w:rPr>
                <w:rStyle w:val="row-content"/>
                <w:color w:val="244061"/>
              </w:rPr>
              <w:t xml:space="preserve">       </w:t>
            </w:r>
            <w:hyperlink w:history="true" r:id="R71e711739ec04995">
              <w:r>
                <w:rPr>
                  <w:rStyle w:val="Hyperlink"/>
                  <w:color w:val="244061"/>
                </w:rPr>
                <w:t xml:space="preserve">Health</w:t>
              </w:r>
            </w:hyperlink>
            <w:r>
              <w:rPr>
                <w:rStyle w:val="row-content"/>
                <w:color w:val="244061"/>
              </w:rPr>
              <w:t xml:space="preserve">, Standard 20/12/2022</w:t>
            </w:r>
          </w:p>
          <w:p>
            <w:r>
              <w:br/>
            </w:r>
            <w:hyperlink w:history="true" r:id="R80977cc54c364b40">
              <w:r>
                <w:rPr>
                  <w:rStyle w:val="Hyperlink"/>
                </w:rPr>
                <w:t xml:space="preserve">Establishment—number of sentinel events, total N[NNN]</w:t>
              </w:r>
            </w:hyperlink>
          </w:p>
          <w:p>
            <w:pPr>
              <w:spacing w:before="0" w:after="0"/>
            </w:pPr>
            <w:r>
              <w:rPr>
                <w:rStyle w:val="row-content"/>
                <w:color w:val="244061"/>
              </w:rPr>
              <w:t xml:space="preserve">       </w:t>
            </w:r>
            <w:hyperlink w:history="true" r:id="Rc430ed9282d045e7">
              <w:r>
                <w:rPr>
                  <w:rStyle w:val="Hyperlink"/>
                  <w:color w:val="244061"/>
                </w:rPr>
                <w:t xml:space="preserve">Health</w:t>
              </w:r>
            </w:hyperlink>
            <w:r>
              <w:rPr>
                <w:rStyle w:val="row-content"/>
                <w:color w:val="244061"/>
              </w:rPr>
              <w:t xml:space="preserve">, Standard 20/12/2022</w:t>
            </w:r>
          </w:p>
          <w:p>
            <w:r>
              <w:br/>
            </w:r>
            <w:hyperlink w:history="true" r:id="Rc257588c77c748af">
              <w:r>
                <w:rPr>
                  <w:rStyle w:val="Hyperlink"/>
                </w:rPr>
                <w:t xml:space="preserve">Establishment—type of sentinel event</w:t>
              </w:r>
            </w:hyperlink>
          </w:p>
          <w:p>
            <w:pPr>
              <w:spacing w:before="0" w:after="0"/>
            </w:pPr>
            <w:r>
              <w:rPr>
                <w:rStyle w:val="row-content"/>
                <w:color w:val="244061"/>
              </w:rPr>
              <w:t xml:space="preserve">       </w:t>
            </w:r>
            <w:hyperlink w:history="true" r:id="Raa1a9fb4149345c1">
              <w:r>
                <w:rPr>
                  <w:rStyle w:val="Hyperlink"/>
                  <w:color w:val="244061"/>
                </w:rPr>
                <w:t xml:space="preserve">Health</w:t>
              </w:r>
            </w:hyperlink>
            <w:r>
              <w:rPr>
                <w:rStyle w:val="row-content"/>
                <w:color w:val="244061"/>
              </w:rPr>
              <w:t xml:space="preserve">, Standard 20/12/2022</w:t>
            </w:r>
          </w:p>
          <w:p>
            <w:r>
              <w:br/>
            </w:r>
            <w:hyperlink w:history="true" r:id="R96f4e823c54b4517">
              <w:r>
                <w:rPr>
                  <w:rStyle w:val="Hyperlink"/>
                </w:rPr>
                <w:t xml:space="preserve">Establishment—type of sentinel event, code N</w:t>
              </w:r>
            </w:hyperlink>
          </w:p>
          <w:p>
            <w:pPr>
              <w:spacing w:before="0" w:after="0"/>
            </w:pPr>
            <w:r>
              <w:rPr>
                <w:rStyle w:val="row-content"/>
                <w:color w:val="244061"/>
              </w:rPr>
              <w:t xml:space="preserve">       </w:t>
            </w:r>
            <w:hyperlink w:history="true" r:id="Rbd192492b78346a7">
              <w:r>
                <w:rPr>
                  <w:rStyle w:val="Hyperlink"/>
                  <w:color w:val="244061"/>
                </w:rPr>
                <w:t xml:space="preserve">Health</w:t>
              </w:r>
            </w:hyperlink>
            <w:r>
              <w:rPr>
                <w:rStyle w:val="row-content"/>
                <w:color w:val="244061"/>
              </w:rPr>
              <w:t xml:space="preserve">, Standard 20/12/2022</w:t>
            </w:r>
          </w:p>
          <w:p>
            <w:r>
              <w:br/>
            </w:r>
            <w:hyperlink w:history="true" r:id="R8f99d3ba4ac74ae4">
              <w:r>
                <w:rPr>
                  <w:rStyle w:val="Hyperlink"/>
                </w:rPr>
                <w:t xml:space="preserve">Number of sentinel events</w:t>
              </w:r>
            </w:hyperlink>
          </w:p>
          <w:p>
            <w:pPr>
              <w:spacing w:before="0" w:after="0"/>
            </w:pPr>
            <w:r>
              <w:rPr>
                <w:rStyle w:val="row-content"/>
                <w:color w:val="244061"/>
              </w:rPr>
              <w:t xml:space="preserve">       </w:t>
            </w:r>
            <w:hyperlink w:history="true" r:id="R39bb23c8caca4940">
              <w:r>
                <w:rPr>
                  <w:rStyle w:val="Hyperlink"/>
                  <w:color w:val="244061"/>
                </w:rPr>
                <w:t xml:space="preserve">Health</w:t>
              </w:r>
            </w:hyperlink>
            <w:r>
              <w:rPr>
                <w:rStyle w:val="row-content"/>
                <w:color w:val="244061"/>
              </w:rPr>
              <w:t xml:space="preserve">, Standard 20/12/2022</w:t>
            </w:r>
          </w:p>
          <w:p>
            <w:r>
              <w:br/>
            </w:r>
            <w:hyperlink w:history="true" r:id="R9e1d716ac8704986">
              <w:r>
                <w:rPr>
                  <w:rStyle w:val="Hyperlink"/>
                </w:rPr>
                <w:t xml:space="preserve">Sentinel events NBEDS 2004–2019</w:t>
              </w:r>
            </w:hyperlink>
          </w:p>
          <w:p>
            <w:pPr>
              <w:spacing w:before="0" w:after="0"/>
            </w:pPr>
            <w:r>
              <w:rPr>
                <w:rStyle w:val="row-content"/>
                <w:color w:val="244061"/>
              </w:rPr>
              <w:t xml:space="preserve">       </w:t>
            </w:r>
            <w:hyperlink w:history="true" r:id="Re31b634c635a4ffb">
              <w:r>
                <w:rPr>
                  <w:rStyle w:val="Hyperlink"/>
                  <w:color w:val="244061"/>
                </w:rPr>
                <w:t xml:space="preserve">Health</w:t>
              </w:r>
            </w:hyperlink>
            <w:r>
              <w:rPr>
                <w:rStyle w:val="row-content"/>
                <w:color w:val="244061"/>
              </w:rPr>
              <w:t xml:space="preserve">, Standard 20/12/2022</w:t>
            </w:r>
          </w:p>
          <w:p>
            <w:r>
              <w:br/>
            </w:r>
            <w:hyperlink w:history="true" r:id="Rf32cd90412c54d0f">
              <w:r>
                <w:rPr>
                  <w:rStyle w:val="Hyperlink"/>
                </w:rPr>
                <w:t xml:space="preserve">Type of sentinel event</w:t>
              </w:r>
            </w:hyperlink>
          </w:p>
          <w:p>
            <w:pPr>
              <w:spacing w:before="0" w:after="0"/>
            </w:pPr>
            <w:r>
              <w:rPr>
                <w:rStyle w:val="row-content"/>
                <w:color w:val="244061"/>
              </w:rPr>
              <w:t xml:space="preserve">       </w:t>
            </w:r>
            <w:hyperlink w:history="true" r:id="Rd6a18342ac964e03">
              <w:r>
                <w:rPr>
                  <w:rStyle w:val="Hyperlink"/>
                  <w:color w:val="244061"/>
                </w:rPr>
                <w:t xml:space="preserve">Health</w:t>
              </w:r>
            </w:hyperlink>
            <w:r>
              <w:rPr>
                <w:rStyle w:val="row-content"/>
                <w:color w:val="244061"/>
              </w:rPr>
              <w:t xml:space="preserve">, Standard 20/12/2022</w:t>
            </w:r>
          </w:p>
          <w:p>
            <w:r>
              <w:br/>
            </w:r>
            <w:hyperlink w:history="true" r:id="Re801dd8588704392">
              <w:r>
                <w:rPr>
                  <w:rStyle w:val="Hyperlink"/>
                </w:rPr>
                <w:t xml:space="preserve">Type of sentinel event code N</w:t>
              </w:r>
            </w:hyperlink>
          </w:p>
          <w:p>
            <w:pPr>
              <w:spacing w:before="0" w:after="0"/>
            </w:pPr>
            <w:r>
              <w:rPr>
                <w:rStyle w:val="row-content"/>
                <w:color w:val="244061"/>
              </w:rPr>
              <w:t xml:space="preserve">       </w:t>
            </w:r>
            <w:hyperlink w:history="true" r:id="R57cfe719308444d6">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d8837a8f07fe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b21f504c8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37a8f07fe415d" /><Relationship Type="http://schemas.openxmlformats.org/officeDocument/2006/relationships/header" Target="/word/header1.xml" Id="Ra61c955f0fd04104" /><Relationship Type="http://schemas.openxmlformats.org/officeDocument/2006/relationships/settings" Target="/word/settings.xml" Id="Re746e2234a134cd9" /><Relationship Type="http://schemas.openxmlformats.org/officeDocument/2006/relationships/styles" Target="/word/styles.xml" Id="R755025e49a194713" /><Relationship Type="http://schemas.openxmlformats.org/officeDocument/2006/relationships/hyperlink" Target="https://meteor.aihw.gov.au/RegistrationAuthority/12" TargetMode="External" Id="R8a26858d105b4dec" /><Relationship Type="http://schemas.openxmlformats.org/officeDocument/2006/relationships/numbering" Target="/word/numbering.xml" Id="Reab21bef1c2c4af2" /><Relationship Type="http://schemas.openxmlformats.org/officeDocument/2006/relationships/hyperlink" Target="https://www.pc.gov.au/research/ongoing/report-on-government-services" TargetMode="External" Id="R208d5d9374144c31" /><Relationship Type="http://schemas.openxmlformats.org/officeDocument/2006/relationships/hyperlink" Target="https://www.safetyandquality.gov.au/publications-and-resources/resource-library/australian-sentinel-events-list-version-2-development-and-specifications" TargetMode="External" Id="Rd5df43ce4f1e48da" /><Relationship Type="http://schemas.openxmlformats.org/officeDocument/2006/relationships/hyperlink" Target="https://meteor.aihw.gov.au/content/774543" TargetMode="External" Id="Rf408a05b63454a36" /><Relationship Type="http://schemas.openxmlformats.org/officeDocument/2006/relationships/hyperlink" Target="https://meteor.aihw.gov.au/RegistrationAuthority/12" TargetMode="External" Id="Ra2849dbd53db4818" /><Relationship Type="http://schemas.openxmlformats.org/officeDocument/2006/relationships/hyperlink" Target="https://meteor.aihw.gov.au/content/758570" TargetMode="External" Id="R85316966ddae43ba" /><Relationship Type="http://schemas.openxmlformats.org/officeDocument/2006/relationships/hyperlink" Target="https://meteor.aihw.gov.au/RegistrationAuthority/12" TargetMode="External" Id="R71e711739ec04995" /><Relationship Type="http://schemas.openxmlformats.org/officeDocument/2006/relationships/hyperlink" Target="https://meteor.aihw.gov.au/content/758577" TargetMode="External" Id="R80977cc54c364b40" /><Relationship Type="http://schemas.openxmlformats.org/officeDocument/2006/relationships/hyperlink" Target="https://meteor.aihw.gov.au/RegistrationAuthority/12" TargetMode="External" Id="Rc430ed9282d045e7" /><Relationship Type="http://schemas.openxmlformats.org/officeDocument/2006/relationships/hyperlink" Target="https://meteor.aihw.gov.au/content/758562" TargetMode="External" Id="Rc257588c77c748af" /><Relationship Type="http://schemas.openxmlformats.org/officeDocument/2006/relationships/hyperlink" Target="https://meteor.aihw.gov.au/RegistrationAuthority/12" TargetMode="External" Id="Raa1a9fb4149345c1" /><Relationship Type="http://schemas.openxmlformats.org/officeDocument/2006/relationships/hyperlink" Target="https://meteor.aihw.gov.au/content/758582" TargetMode="External" Id="R96f4e823c54b4517" /><Relationship Type="http://schemas.openxmlformats.org/officeDocument/2006/relationships/hyperlink" Target="https://meteor.aihw.gov.au/RegistrationAuthority/12" TargetMode="External" Id="Rbd192492b78346a7" /><Relationship Type="http://schemas.openxmlformats.org/officeDocument/2006/relationships/hyperlink" Target="https://meteor.aihw.gov.au/content/758567" TargetMode="External" Id="R8f99d3ba4ac74ae4" /><Relationship Type="http://schemas.openxmlformats.org/officeDocument/2006/relationships/hyperlink" Target="https://meteor.aihw.gov.au/RegistrationAuthority/12" TargetMode="External" Id="R39bb23c8caca4940" /><Relationship Type="http://schemas.openxmlformats.org/officeDocument/2006/relationships/hyperlink" Target="https://meteor.aihw.gov.au/content/759410" TargetMode="External" Id="R9e1d716ac8704986" /><Relationship Type="http://schemas.openxmlformats.org/officeDocument/2006/relationships/hyperlink" Target="https://meteor.aihw.gov.au/RegistrationAuthority/12" TargetMode="External" Id="Re31b634c635a4ffb" /><Relationship Type="http://schemas.openxmlformats.org/officeDocument/2006/relationships/hyperlink" Target="https://meteor.aihw.gov.au/content/758556" TargetMode="External" Id="Rf32cd90412c54d0f" /><Relationship Type="http://schemas.openxmlformats.org/officeDocument/2006/relationships/hyperlink" Target="https://meteor.aihw.gov.au/RegistrationAuthority/12" TargetMode="External" Id="Rd6a18342ac964e03" /><Relationship Type="http://schemas.openxmlformats.org/officeDocument/2006/relationships/hyperlink" Target="https://meteor.aihw.gov.au/content/758559" TargetMode="External" Id="Re801dd8588704392" /><Relationship Type="http://schemas.openxmlformats.org/officeDocument/2006/relationships/hyperlink" Target="https://meteor.aihw.gov.au/RegistrationAuthority/12" TargetMode="External" Id="R57cfe719308444d6" /></Relationships>
</file>

<file path=word/_rels/header1.xml.rels>&#65279;<?xml version="1.0" encoding="utf-8"?><Relationships xmlns="http://schemas.openxmlformats.org/package/2006/relationships"><Relationship Type="http://schemas.openxmlformats.org/officeDocument/2006/relationships/image" Target="/media/image.png" Id="R721b21f504c8420b" /></Relationships>
</file>