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725406fe34449a5" /></Relationships>
</file>

<file path=word/document.xml><?xml version="1.0" encoding="utf-8"?>
<w:document xmlns:r="http://schemas.openxmlformats.org/officeDocument/2006/relationships" xmlns:w="http://schemas.openxmlformats.org/wordprocessingml/2006/main">
  <w:body>
    <w:p>
      <w:pPr>
        <w:pStyle w:val="Title"/>
      </w:pPr>
      <w:r>
        <w:t>Establishment—Staphylococcus aureus bloodstream infection surveillance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Establishment—Staphylococcus aureus bloodstream infection surveillance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Staphylococcus aureus bloodstream infection surveillance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SABSI surveillance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754293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039c6f30df4dbe">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w:t>
            </w:r>
            <w:hyperlink w:tooltip="A patient episode of a Staphylococcus aureus bloodstream infection (SABSI) is a positive blood culture for Staphylococcus aureus (S. aureus). For surveillance purposes, only the first isolate per patient is counted, unless at least 14 days has passed w..." w:history="true" r:id="R307c6f552be44d40">
              <w:r>
                <w:rPr>
                  <w:rStyle w:val="Hyperlink"/>
                  <w:b/>
                </w:rPr>
                <w:t xml:space="preserve">Staphylococcus aureus bloodstream infection (SABSI)</w:t>
              </w:r>
            </w:hyperlink>
            <w:r>
              <w:rPr>
                <w:rStyle w:val="row-content-rich-text"/>
              </w:rPr>
              <w:t xml:space="preserve"> surveillance arrangements are in place within a hospital during a specified reference period,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50d3050436b4047">
              <w:r>
                <w:rPr>
                  <w:rStyle w:val="Hyperlink"/>
                </w:rPr>
                <w:t xml:space="preserve">Establishment—Staphylococcus aureus bloodstream infection surveillance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f4df8db33314196">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This code includes:</w:t>
            </w:r>
          </w:p>
          <w:p>
            <w:pPr>
              <w:pStyle w:val="ListParagraph"/>
              <w:numPr>
                <w:ilvl w:val="0"/>
                <w:numId w:val="2"/>
              </w:numPr>
            </w:pPr>
            <w:r>
              <w:rPr>
                <w:rStyle w:val="row-content-rich-text"/>
              </w:rPr>
              <w:t xml:space="preserve">Hospitals covered by SABSI surveillance arrangements at any time during the reference period</w:t>
            </w:r>
          </w:p>
          <w:p>
            <w:pPr>
              <w:pStyle w:val="ListParagraph"/>
              <w:numPr>
                <w:ilvl w:val="0"/>
                <w:numId w:val="2"/>
              </w:numPr>
            </w:pPr>
            <w:r>
              <w:rPr>
                <w:rStyle w:val="row-content-rich-text"/>
              </w:rPr>
              <w:t xml:space="preserve">Some states operate a 'signal surveillance' arrangement for smaller hospitals whereby the hospital notifies the appropriate authority if a SABSI case is identified, but the hospital is not considered to have formal SABSI surveillance as per larger hospitals. Where this arrangement is in place, and it can be assured that all identified SABSI patient episodes will be notified, these hospitals should be considered as having SABSI surveillance arrangements.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2021. Implementation Guide for the Surveillance of Staphylococcus aureus bloodstream infection. Sydney: ACSQHC, viewed 10 February 2022 </w:t>
            </w:r>
            <w:hyperlink w:history="true" r:id="R140de7e42e44462a">
              <w:r>
                <w:rPr>
                  <w:rStyle w:val="Hyperlink"/>
                </w:rPr>
                <w:t xml:space="preserve">https://www.safetyandquality.gov.au/publications-and-resources/resource-library/implementation-guide-surveillance-staphylococcus-aureus-bloodstream-infection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a2b44497b1f4293">
              <w:r>
                <w:rPr>
                  <w:rStyle w:val="Hyperlink"/>
                </w:rPr>
                <w:t xml:space="preserve">Establishment—Staphylococcus aureus bacteraemia surveillance indicator, yes/no code N</w:t>
              </w:r>
            </w:hyperlink>
          </w:p>
          <w:p>
            <w:pPr>
              <w:spacing w:before="0" w:after="0"/>
            </w:pPr>
            <w:r>
              <w:rPr>
                <w:rStyle w:val="row-content"/>
                <w:color w:val="244061"/>
              </w:rPr>
              <w:t xml:space="preserve">       </w:t>
            </w:r>
            <w:hyperlink w:history="true" r:id="R99205465436c4065">
              <w:r>
                <w:rPr>
                  <w:rStyle w:val="Hyperlink"/>
                  <w:color w:val="244061"/>
                </w:rPr>
                <w:t xml:space="preserve">Health</w:t>
              </w:r>
            </w:hyperlink>
            <w:r>
              <w:rPr>
                <w:rStyle w:val="row-content"/>
                <w:color w:val="244061"/>
              </w:rPr>
              <w:t xml:space="preserve">, Superseded 10/06/2022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320d57aacdb49a6">
              <w:r>
                <w:rPr>
                  <w:rStyle w:val="Hyperlink"/>
                </w:rPr>
                <w:t xml:space="preserve">Healthcare-associated infections NBEDS 2021–</w:t>
              </w:r>
            </w:hyperlink>
          </w:p>
          <w:p>
            <w:pPr>
              <w:spacing w:before="0" w:after="0"/>
            </w:pPr>
            <w:r>
              <w:rPr>
                <w:rStyle w:val="row-content"/>
                <w:color w:val="244061"/>
              </w:rPr>
              <w:t xml:space="preserve">       </w:t>
            </w:r>
            <w:hyperlink w:history="true" r:id="R906349924e894cab">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01/07/2021</w:t>
            </w:r>
            <w:r>
              <w:br/>
            </w:r>
            <w:r>
              <w:br/>
            </w:r>
            <w:hyperlink w:history="true" r:id="Rc7bc805b073f4a8f">
              <w:r>
                <w:rPr>
                  <w:rStyle w:val="Hyperlink"/>
                </w:rPr>
                <w:t xml:space="preserve">Healthcare-associated infections NBEDS 2025–</w:t>
              </w:r>
            </w:hyperlink>
          </w:p>
          <w:p>
            <w:pPr>
              <w:spacing w:before="0" w:after="0"/>
            </w:pPr>
            <w:r>
              <w:rPr>
                <w:rStyle w:val="row-content"/>
                <w:color w:val="244061"/>
              </w:rPr>
              <w:t xml:space="preserve">       </w:t>
            </w:r>
            <w:hyperlink w:history="true" r:id="R9a3fbc0232be4556">
              <w:r>
                <w:rPr>
                  <w:rStyle w:val="Hyperlink"/>
                  <w:color w:val="244061"/>
                </w:rPr>
                <w:t xml:space="preserve">Health</w:t>
              </w:r>
            </w:hyperlink>
            <w:r>
              <w:rPr>
                <w:rStyle w:val="row-content"/>
                <w:color w:val="244061"/>
              </w:rPr>
              <w:t xml:space="preserve">, Recorded 26/04/2024</w:t>
            </w:r>
          </w:p>
          <w:p>
            <w:r>
              <w:rPr>
                <w:rStyle w:val="row-content"/>
                <w:b/>
                <w:i/>
              </w:rPr>
              <w:t xml:space="preserve">Implementation start date: </w:t>
            </w:r>
            <w:r>
              <w:rPr>
                <w:rStyle w:val="row-content"/>
              </w:rPr>
              <w:t xml:space="preserve">01/07/2025</w:t>
            </w:r>
            <w:r>
              <w:br/>
            </w:r>
            <w:r>
              <w:br/>
            </w:r>
          </w:p>
        </w:tc>
      </w:tr>
    </w:tbl>
    <w:p/>
    <w:tbl>
      <w:tblPr>
        <w:tblStyle w:val="TableGrid"/>
        <w:tblW w:w="0" w:type="auto"/>
      </w:tblPr>
    </w:tbl>
    <w:p>
      <w:r>
        <w:br/>
      </w:r>
    </w:p>
    <w:sectPr>
      <w:footerReference xmlns:r="http://schemas.openxmlformats.org/officeDocument/2006/relationships" w:type="default" r:id="R3bcfa76f853946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754293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4495cf86f14f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cfa76f8539467a" /><Relationship Type="http://schemas.openxmlformats.org/officeDocument/2006/relationships/header" Target="/word/header1.xml" Id="R81695bbe945c44e1" /><Relationship Type="http://schemas.openxmlformats.org/officeDocument/2006/relationships/settings" Target="/word/settings.xml" Id="Rd108dfe1bf4a4411" /><Relationship Type="http://schemas.openxmlformats.org/officeDocument/2006/relationships/styles" Target="/word/styles.xml" Id="Rf1ea5e0f8e504ce0" /><Relationship Type="http://schemas.openxmlformats.org/officeDocument/2006/relationships/hyperlink" Target="https://meteor.aihw.gov.au/RegistrationAuthority/12" TargetMode="External" Id="Rf8039c6f30df4dbe" /><Relationship Type="http://schemas.openxmlformats.org/officeDocument/2006/relationships/hyperlink" Target="https://meteor.aihw.gov.au/content/751480" TargetMode="External" Id="R307c6f552be44d40" /><Relationship Type="http://schemas.openxmlformats.org/officeDocument/2006/relationships/hyperlink" Target="https://meteor.aihw.gov.au/content/751508" TargetMode="External" Id="Rc50d3050436b4047" /><Relationship Type="http://schemas.openxmlformats.org/officeDocument/2006/relationships/hyperlink" Target="https://meteor.aihw.gov.au/content/270732" TargetMode="External" Id="R0f4df8db33314196" /><Relationship Type="http://schemas.openxmlformats.org/officeDocument/2006/relationships/numbering" Target="/word/numbering.xml" Id="Rda2cc944c3f64afa" /><Relationship Type="http://schemas.openxmlformats.org/officeDocument/2006/relationships/hyperlink" Target="https://www.safetyandquality.gov.au/publications-and-resources/resource-library/implementation-guide-surveillance-staphylococcus-aureus-bloodstream-infection" TargetMode="External" Id="R140de7e42e44462a" /><Relationship Type="http://schemas.openxmlformats.org/officeDocument/2006/relationships/hyperlink" Target="https://meteor.aihw.gov.au/content/585386" TargetMode="External" Id="R9a2b44497b1f4293" /><Relationship Type="http://schemas.openxmlformats.org/officeDocument/2006/relationships/hyperlink" Target="https://meteor.aihw.gov.au/RegistrationAuthority/12" TargetMode="External" Id="R99205465436c4065" /><Relationship Type="http://schemas.openxmlformats.org/officeDocument/2006/relationships/hyperlink" Target="https://meteor.aihw.gov.au/content/751510" TargetMode="External" Id="Rf320d57aacdb49a6" /><Relationship Type="http://schemas.openxmlformats.org/officeDocument/2006/relationships/hyperlink" Target="https://meteor.aihw.gov.au/RegistrationAuthority/12" TargetMode="External" Id="R906349924e894cab" /><Relationship Type="http://schemas.openxmlformats.org/officeDocument/2006/relationships/hyperlink" Target="https://meteor.aihw.gov.au/content/792055" TargetMode="External" Id="Rc7bc805b073f4a8f" /><Relationship Type="http://schemas.openxmlformats.org/officeDocument/2006/relationships/hyperlink" Target="https://meteor.aihw.gov.au/RegistrationAuthority/12" TargetMode="External" Id="R9a3fbc0232be4556" /></Relationships>
</file>

<file path=word/_rels/header1.xml.rels>&#65279;<?xml version="1.0" encoding="utf-8"?><Relationships xmlns="http://schemas.openxmlformats.org/package/2006/relationships"><Relationship Type="http://schemas.openxmlformats.org/officeDocument/2006/relationships/image" Target="/media/image.png" Id="R584495cf86f14f50" /></Relationships>
</file>