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6d6104ddb9944c3" /></Relationships>
</file>

<file path=word/document.xml><?xml version="1.0" encoding="utf-8"?>
<w:document xmlns:r="http://schemas.openxmlformats.org/officeDocument/2006/relationships" xmlns:w="http://schemas.openxmlformats.org/wordprocessingml/2006/main">
  <w:body>
    <w:p>
      <w:pPr>
        <w:pStyle w:val="Title"/>
      </w:pPr>
      <w:r>
        <w:t>Teacher registration gender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Teacher registration gender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753385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94810a4c37472f">
              <w:r>
                <w:rPr>
                  <w:rStyle w:val="Hyperlink"/>
                  <w:color w:val="244061"/>
                </w:rPr>
                <w:t xml:space="preserve">Australian Teacher Workforce Data Oversight Board</w:t>
              </w:r>
            </w:hyperlink>
            <w:r>
              <w:rPr>
                <w:rStyle w:val="row-content"/>
                <w:color w:val="244061"/>
              </w:rPr>
              <w:t xml:space="preserve">, Standard 30/08/2022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gender as collected from Australian state and territory Teacher Registration Authorities (TRAs).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Teacher Registration for the Australian Teacher Workforce Data (ATWD)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Other/unspecified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If no data are available, then a value of 99 is used.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Value Domain is based on the collection of gender from Teacher Registration Authorities (TRAs) as part of the Australian Teacher Workforce Data (ATWD). It does not conform to the ABS </w:t>
            </w:r>
            <w:hyperlink w:history="true" r:id="Rf5b70c34533d4540">
              <w:r>
                <w:rPr>
                  <w:rStyle w:val="Hyperlink"/>
                </w:rPr>
                <w:t xml:space="preserve">Standard for sex, gender, variations of sex characteristics and sexual orientation variables</w:t>
              </w:r>
            </w:hyperlink>
            <w:r>
              <w:rPr>
                <w:rStyle w:val="row-content-rich-text"/>
              </w:rPr>
              <w:t xml:space="preserve"> (ABS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gender may stay the same or can change over the course of their lifetime. The gender response option chosen will reflect a person's gender at that point in time. Some people may not identify with a specific gender or with the concept of gender at all.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2021. Standard for sex, gender, variations of sex characteristics and sexual orientation variables. Canberra: ABS, viewed 13 October 2022 </w:t>
            </w:r>
            <w:r>
              <w:rPr>
                <w:rStyle w:val="row-content-rich-text"/>
              </w:rPr>
              <w:t xml:space="preserve">https​:​/​/www​.abs​.gov​.au​/statistics​/standards​/standard​-sex​-gender​-variations​-sex​-characteristics​-and​-sexual​-orientation​-variables​/latest​-release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efdf20c518346e2">
              <w:r>
                <w:rPr>
                  <w:rStyle w:val="Hyperlink"/>
                </w:rPr>
                <w:t xml:space="preserve">Person—gender, teacher registration code N[N]</w:t>
              </w:r>
            </w:hyperlink>
          </w:p>
          <w:p>
            <w:pPr>
              <w:spacing w:before="0" w:after="0"/>
            </w:pPr>
            <w:r>
              <w:rPr>
                <w:rStyle w:val="row-content"/>
                <w:color w:val="244061"/>
              </w:rPr>
              <w:t xml:space="preserve">       </w:t>
            </w:r>
            <w:hyperlink w:history="true" r:id="R481ba387bba04bb9">
              <w:r>
                <w:rPr>
                  <w:rStyle w:val="Hyperlink"/>
                  <w:color w:val="244061"/>
                </w:rPr>
                <w:t xml:space="preserve">Australian Teacher Workforce Data Oversight Board</w:t>
              </w:r>
            </w:hyperlink>
            <w:r>
              <w:rPr>
                <w:rStyle w:val="row-content"/>
                <w:color w:val="244061"/>
              </w:rPr>
              <w:t xml:space="preserve">, Standard 30/08/2022</w:t>
            </w:r>
          </w:p>
          <w:p>
            <w:r>
              <w:br/>
            </w:r>
          </w:p>
        </w:tc>
      </w:tr>
    </w:tbl>
    <w:p>
      <w:r>
        <w:br/>
      </w:r>
    </w:p>
    <w:sectPr>
      <w:footerReference xmlns:r="http://schemas.openxmlformats.org/officeDocument/2006/relationships" w:type="default" r:id="R513231a81d5c44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753385</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6f906655f243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3231a81d5c449e" /><Relationship Type="http://schemas.openxmlformats.org/officeDocument/2006/relationships/header" Target="/word/header1.xml" Id="Rfc267133b3dd4d13" /><Relationship Type="http://schemas.openxmlformats.org/officeDocument/2006/relationships/settings" Target="/word/settings.xml" Id="Rde5489c626ba4c5a" /><Relationship Type="http://schemas.openxmlformats.org/officeDocument/2006/relationships/styles" Target="/word/styles.xml" Id="R92516efb8b004fbb" /><Relationship Type="http://schemas.openxmlformats.org/officeDocument/2006/relationships/hyperlink" Target="https://meteor.aihw.gov.au/RegistrationAuthority/23" TargetMode="External" Id="R3794810a4c37472f" /><Relationship Type="http://schemas.openxmlformats.org/officeDocument/2006/relationships/hyperlink" Target="https://www.abs.gov.au/statistics/standards/standard-sex-gender-variations-sex-characteristics-and-sexual-orientation-variables/latest-release" TargetMode="External" Id="Rf5b70c34533d4540" /><Relationship Type="http://schemas.openxmlformats.org/officeDocument/2006/relationships/hyperlink" Target="https://meteor.aihw.gov.au/content/753387" TargetMode="External" Id="R3efdf20c518346e2" /><Relationship Type="http://schemas.openxmlformats.org/officeDocument/2006/relationships/hyperlink" Target="https://meteor.aihw.gov.au/RegistrationAuthority/23" TargetMode="External" Id="R481ba387bba04bb9" /></Relationships>
</file>

<file path=word/_rels/header1.xml.rels>&#65279;<?xml version="1.0" encoding="utf-8"?><Relationships xmlns="http://schemas.openxmlformats.org/package/2006/relationships"><Relationship Type="http://schemas.openxmlformats.org/officeDocument/2006/relationships/image" Target="/media/image.png" Id="R476f906655f24370" /></Relationships>
</file>