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c7e58154fa4528" /></Relationships>
</file>

<file path=word/document.xml><?xml version="1.0" encoding="utf-8"?>
<w:document xmlns:r="http://schemas.openxmlformats.org/officeDocument/2006/relationships" xmlns:w="http://schemas.openxmlformats.org/wordprocessingml/2006/main">
  <w:body>
    <w:p>
      <w:pPr>
        <w:pStyle w:val="Title"/>
      </w:pPr>
      <w:r>
        <w:t>Patient episode of Staphylococcus aureus bloodstream infection—most probable origin, healthcare associated clinical criteria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episode of Staphylococcus aureus bloodstream infection—most probable origin, healthcare associated clinical criteria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Healthcare associated Staphylococcus aureus bloodstream infection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58874f0b694792">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probable healthcare associated source of a patient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e4129e566b72464a">
              <w:r>
                <w:rPr>
                  <w:rStyle w:val="Hyperlink"/>
                  <w:b/>
                </w:rPr>
                <w:t xml:space="preserve">episode of Staphylococcus aureus bloodstream infection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aed586c1b8439f">
              <w:r>
                <w:rPr>
                  <w:rStyle w:val="Hyperlink"/>
                </w:rPr>
                <w:t xml:space="preserve">Patient episode of Staphylococcus aureus bloodstream infection—most probable origin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11dd56b7ba466a">
              <w:r>
                <w:rPr>
                  <w:rStyle w:val="Hyperlink"/>
                </w:rPr>
                <w:t xml:space="preserve">Healthcare associated Staphylococcus aureus bloodstream infection clinical criteria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Related to an indwelling medical device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Related to surgical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Related to an invasive instrumentation or incision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Related to cytotoxic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Related to an indwelling medical device</w:t>
            </w:r>
          </w:p>
          <w:p>
            <w:pPr>
              <w:spacing w:after="160"/>
            </w:pPr>
            <w:r>
              <w:rPr>
                <w:rStyle w:val="row-content-rich-text"/>
              </w:rPr>
              <w:t xml:space="preserve">To be used where the SABSI is a result of a complication of an indwelling medical device, such as an intravascular line, haemodialysis vascular access, cerebrospinal fluid shunt, or urinary catheter.</w:t>
            </w:r>
          </w:p>
          <w:p>
            <w:pPr>
              <w:spacing w:after="160"/>
            </w:pPr>
            <w:r>
              <w:rPr>
                <w:rStyle w:val="row-content-rich-text"/>
              </w:rPr>
              <w:t xml:space="preserve">CODE 2         Related to surgical site</w:t>
            </w:r>
          </w:p>
          <w:p>
            <w:pPr>
              <w:spacing w:after="160"/>
            </w:pPr>
            <w:r>
              <w:rPr>
                <w:rStyle w:val="row-content-rich-text"/>
              </w:rPr>
              <w:t xml:space="preserve">To be used where the patient episode occurs within 30 days of a surgical procedure where the SABSI is related to the surgical site, or within 90 days for deep incisional/organ space infections related to a surgically implanted device.</w:t>
            </w:r>
          </w:p>
          <w:p>
            <w:pPr>
              <w:spacing w:after="160"/>
            </w:pPr>
            <w:r>
              <w:rPr>
                <w:rStyle w:val="row-content-rich-text"/>
              </w:rPr>
              <w:t xml:space="preserve">CODE 3         Related to an invasive instrumentation or incision</w:t>
            </w:r>
          </w:p>
          <w:p>
            <w:pPr>
              <w:spacing w:after="160"/>
            </w:pPr>
            <w:r>
              <w:rPr>
                <w:rStyle w:val="row-content-rich-text"/>
              </w:rPr>
              <w:t xml:space="preserve">To be used where the SABSI was diagnosed within 48 hours of a related invasive instrumentation or incision.</w:t>
            </w:r>
          </w:p>
          <w:p>
            <w:pPr>
              <w:spacing w:after="160"/>
            </w:pPr>
            <w:r>
              <w:rPr>
                <w:rStyle w:val="row-content-rich-text"/>
              </w:rPr>
              <w:t xml:space="preserve">CODE 4         Related to cytotoxic therapy</w:t>
            </w:r>
          </w:p>
          <w:p>
            <w:pPr>
              <w:spacing w:after="160"/>
            </w:pPr>
            <w:r>
              <w:rPr>
                <w:rStyle w:val="row-content-rich-text"/>
              </w:rPr>
              <w:t xml:space="preserve">To be used where the SABSI is associated with neutropenia contributed to by cytotoxic therapy and is unrelated to the presence of an indwelling medical device. Where neutropenia is defined as at least two separate calendar days with values of absolute neutrophil count (ANC) or total white blood cells count (WBC) less than 1 x 10</w:t>
            </w:r>
            <w:r>
              <w:rPr>
                <w:rStyle w:val="row-content-rich-text"/>
                <w:vertAlign w:val="superscript"/>
              </w:rPr>
              <w:t xml:space="preserve">9</w:t>
            </w:r>
            <w:r>
              <w:rPr>
                <w:rStyle w:val="row-content-rich-text"/>
              </w:rPr>
              <w:t xml:space="preserve">/L.</w:t>
            </w:r>
          </w:p>
          <w:p>
            <w:pPr>
              <w:spacing w:after="160"/>
            </w:pPr>
            <w:r>
              <w:rPr>
                <w:rStyle w:val="row-content-rich-text"/>
              </w:rPr>
              <w:t xml:space="preserve"> </w:t>
            </w:r>
          </w:p>
          <w:p>
            <w:pPr/>
            <w:r>
              <w:rPr>
                <w:rStyle w:val="row-content-rich-text"/>
              </w:rPr>
              <w:t xml:space="preserve">If the most probable cause cannot be defined by the four codes listed, then the SABSI is considered to be community-acquired and reported as such for </w:t>
            </w:r>
            <w:hyperlink w:history="true" r:id="R5a51a69211174287">
              <w:r>
                <w:rPr>
                  <w:rStyle w:val="Hyperlink"/>
                </w:rPr>
                <w:t xml:space="preserve">Patient episode of Staphylococcus aureus bloodstream infection—infection setting, status code 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To identify whether SABSIs are community associated or healthcare associated, SABSIs should undergo a standard case review by a healthcare worker trained in Infectious Diseases/Infection Control.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2021. Implementation Guide for the Surveillance of Staphylococcus aureus bloodstream infection. Sydney: ACSQHC, viewed 10 February 2022 </w:t>
            </w:r>
            <w:hyperlink w:history="true" r:id="R0b35afa348cd4070">
              <w:r>
                <w:rPr>
                  <w:rStyle w:val="Hyperlink"/>
                </w:rPr>
                <w:t xml:space="preserve">https://www.safetyandquality.gov.au/publications-and-resources/resource-library/implementation-guide-surveillance-staphylococcus-aureus-bloodstream-infection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5898b938154f96">
              <w:r>
                <w:rPr>
                  <w:rStyle w:val="Hyperlink"/>
                </w:rPr>
                <w:t xml:space="preserve">Patient episode of Staphylococcus aureus bacteraemia—most probable healthcare associated Staphylococcus aureus bacteraemia clinical criteria, code N</w:t>
              </w:r>
            </w:hyperlink>
          </w:p>
          <w:p>
            <w:pPr>
              <w:spacing w:before="0" w:after="0"/>
            </w:pPr>
            <w:r>
              <w:rPr>
                <w:rStyle w:val="row-content"/>
                <w:color w:val="244061"/>
              </w:rPr>
              <w:t xml:space="preserve">       </w:t>
            </w:r>
            <w:hyperlink w:history="true" r:id="Reeb077bd7d9b4fb1">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2ca146c65a4eb0">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374e4d80495b4dc3">
              <w:r>
                <w:rPr>
                  <w:rStyle w:val="Hyperlink"/>
                  <w:color w:val="244061"/>
                </w:rPr>
                <w:t xml:space="preserve">Health</w:t>
              </w:r>
            </w:hyperlink>
            <w:r>
              <w:rPr>
                <w:rStyle w:val="row-content"/>
                <w:color w:val="244061"/>
              </w:rPr>
              <w:t xml:space="preserve">, Standard 09/12/2022</w:t>
            </w:r>
          </w:p>
          <w:p>
            <w:r>
              <w:rPr>
                <w:rStyle w:val="row-content"/>
                <w:b/>
                <w:i/>
              </w:rPr>
              <w:t xml:space="preserve">Conditional obligation: </w:t>
            </w:r>
          </w:p>
          <w:p>
            <w:r>
              <w:rPr>
                <w:rStyle w:val="row-content"/>
              </w:rPr>
              <w:t xml:space="preserve">Conditional on there being at least one patient episode reported for </w:t>
            </w:r>
            <w:hyperlink w:history="true" r:id="R160dc6ddbbd84352">
              <w:r>
                <w:rPr>
                  <w:rStyle w:val="Hyperlink"/>
                </w:rPr>
                <w:t xml:space="preserve">Establishment—number of patient episodes of healthcare associated Staphylococcus aureus bloodstream infection, total episodes N[NNNN]</w:t>
              </w:r>
            </w:hyperlink>
          </w:p>
          <w:p>
            <w:r>
              <w:br/>
            </w:r>
            <w:r>
              <w:br/>
            </w:r>
          </w:p>
        </w:tc>
      </w:tr>
    </w:tbl>
    <w:p/>
    <w:tbl>
      <w:tblPr>
        <w:tblStyle w:val="TableGrid"/>
        <w:tblW w:w="0" w:type="auto"/>
      </w:tblPr>
    </w:tbl>
    <w:p>
      <w:r>
        <w:br/>
      </w:r>
    </w:p>
    <w:sectPr>
      <w:footerReference xmlns:r="http://schemas.openxmlformats.org/officeDocument/2006/relationships" w:type="default" r:id="R727fb9f1e33b4b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752242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773347fdd449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7fb9f1e33b4b91" /><Relationship Type="http://schemas.openxmlformats.org/officeDocument/2006/relationships/header" Target="/word/header1.xml" Id="R977fa635e33549bb" /><Relationship Type="http://schemas.openxmlformats.org/officeDocument/2006/relationships/settings" Target="/word/settings.xml" Id="R74ef541a232644d6" /><Relationship Type="http://schemas.openxmlformats.org/officeDocument/2006/relationships/styles" Target="/word/styles.xml" Id="R4fe934c330d744da" /><Relationship Type="http://schemas.openxmlformats.org/officeDocument/2006/relationships/hyperlink" Target="https://meteor.aihw.gov.au/RegistrationAuthority/12" TargetMode="External" Id="R6e58874f0b694792" /><Relationship Type="http://schemas.openxmlformats.org/officeDocument/2006/relationships/hyperlink" Target="https://meteor.aihw.gov.au/content/751480" TargetMode="External" Id="Re4129e566b72464a" /><Relationship Type="http://schemas.openxmlformats.org/officeDocument/2006/relationships/hyperlink" Target="https://meteor.aihw.gov.au/content/752238" TargetMode="External" Id="Rd3aed586c1b8439f" /><Relationship Type="http://schemas.openxmlformats.org/officeDocument/2006/relationships/hyperlink" Target="https://meteor.aihw.gov.au/content/752240" TargetMode="External" Id="Rb711dd56b7ba466a" /><Relationship Type="http://schemas.openxmlformats.org/officeDocument/2006/relationships/hyperlink" Target="https://meteor.aihw.gov.au/content/752253" TargetMode="External" Id="R5a51a69211174287" /><Relationship Type="http://schemas.openxmlformats.org/officeDocument/2006/relationships/hyperlink" Target="https://www.safetyandquality.gov.au/publications-and-resources/resource-library/implementation-guide-surveillance-staphylococcus-aureus-bloodstream-infection" TargetMode="External" Id="R0b35afa348cd4070" /><Relationship Type="http://schemas.openxmlformats.org/officeDocument/2006/relationships/hyperlink" Target="https://meteor.aihw.gov.au/content/388928" TargetMode="External" Id="R785898b938154f96" /><Relationship Type="http://schemas.openxmlformats.org/officeDocument/2006/relationships/hyperlink" Target="https://meteor.aihw.gov.au/RegistrationAuthority/12" TargetMode="External" Id="Reeb077bd7d9b4fb1" /><Relationship Type="http://schemas.openxmlformats.org/officeDocument/2006/relationships/hyperlink" Target="https://meteor.aihw.gov.au/content/752224" TargetMode="External" Id="R4a2ca146c65a4eb0" /><Relationship Type="http://schemas.openxmlformats.org/officeDocument/2006/relationships/hyperlink" Target="https://meteor.aihw.gov.au/RegistrationAuthority/12" TargetMode="External" Id="R374e4d80495b4dc3" /><Relationship Type="http://schemas.openxmlformats.org/officeDocument/2006/relationships/hyperlink" Target="https://meteor.aihw.gov.au/content/752302" TargetMode="External" Id="R160dc6ddbbd84352" /></Relationships>
</file>

<file path=word/_rels/header1.xml.rels>&#65279;<?xml version="1.0" encoding="utf-8"?><Relationships xmlns="http://schemas.openxmlformats.org/package/2006/relationships"><Relationship Type="http://schemas.openxmlformats.org/officeDocument/2006/relationships/image" Target="/media/image.png" Id="R7d773347fdd4498c" /></Relationships>
</file>