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42ceb8c8734788" /></Relationships>
</file>

<file path=word/document.xml><?xml version="1.0" encoding="utf-8"?>
<w:document xmlns:r="http://schemas.openxmlformats.org/officeDocument/2006/relationships" xmlns:w="http://schemas.openxmlformats.org/wordprocessingml/2006/main">
  <w:body>
    <w:p>
      <w:pPr>
        <w:pStyle w:val="Title"/>
      </w:pPr>
      <w:r>
        <w:t>Health expenditure database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2f587b50947d8">
              <w:r>
                <w:rPr>
                  <w:rStyle w:val="Hyperlink"/>
                  <w:color w:val="244061"/>
                </w:rPr>
                <w:t xml:space="preserve">AIHW Data Quality Statements</w:t>
              </w:r>
            </w:hyperlink>
            <w:r>
              <w:rPr>
                <w:rStyle w:val="row-content"/>
                <w:color w:val="244061"/>
              </w:rPr>
              <w:t xml:space="preserve">, Superseded 04/11/2022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as reported from the Australian Institute of Health and Welfare (AIHW) Health Expenditure Database, excludes some types of health-related expenditure, including residential aged care, welfare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To create the estimates for Australian Government spending, each year the AIHW is provided with an extract of accounting data from the Australian Government Department of Health and works with the Department to allocate each expenditure item to its most appropriate area of spending. Throughout the years, there have been changes in both the data and approaches to allocation. While every effort is made to ensure consistency, this can lead to changes in the classification of areas of expenditure for some items.</w:t>
            </w:r>
          </w:p>
          <w:p>
            <w:pPr>
              <w:pStyle w:val="ListParagraph"/>
              <w:numPr>
                <w:ilvl w:val="0"/>
                <w:numId w:val="2"/>
              </w:numPr>
            </w:pPr>
            <w:r>
              <w:rPr>
                <w:rStyle w:val="row-content-rich-text"/>
              </w:rPr>
              <w:t xml:space="preserve">The final Australian Bureau of Statistics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 From 2018–19, the Private Hospital Data Bureau (PHDB) is used to estimate the patient revenue component of private hospitals. In 2019–20, the other revenue component is modelled on historical data using the growth rate of the patient revenue component. Therefore, the private hospital expenditure in 2018–19 and 2019–20 might not be directly comparable with previously published data.</w:t>
            </w:r>
          </w:p>
          <w:p>
            <w:pPr>
              <w:pStyle w:val="ListParagraph"/>
              <w:numPr>
                <w:ilvl w:val="0"/>
                <w:numId w:val="2"/>
              </w:numPr>
            </w:pPr>
            <w:r>
              <w:rPr>
                <w:rStyle w:val="row-content-rich-text"/>
              </w:rPr>
              <w:t xml:space="preserve">Data for over-the-counter sales of health-related products by individuals at supermarkets and retail pharmacies for the period 2016–17 to 2019–20 are sourced from Information Resources Incorporated (IRI) data collection. This collection changes over time and can have different scopes compared to the years prior to 2016–17. Therefore, cautions need to be exercised in relevant comparisons.</w:t>
            </w:r>
          </w:p>
          <w:p>
            <w:pPr>
              <w:pStyle w:val="ListParagraph"/>
              <w:numPr>
                <w:ilvl w:val="0"/>
                <w:numId w:val="2"/>
              </w:numPr>
            </w:pPr>
            <w:r>
              <w:rPr>
                <w:rStyle w:val="row-content-rich-text"/>
              </w:rPr>
              <w:t xml:space="preserve">Due to data unavailability, individuals’ expenditure on private scripts in 2019–20 is continued to be modelled using historical data and the growth rates of private health insurance coverage and fees charges.</w:t>
            </w:r>
          </w:p>
          <w:p>
            <w:pPr>
              <w:pStyle w:val="ListParagraph"/>
              <w:numPr>
                <w:ilvl w:val="0"/>
                <w:numId w:val="2"/>
              </w:numPr>
            </w:pPr>
            <w:r>
              <w:rPr>
                <w:rStyle w:val="row-content-rich-text"/>
              </w:rPr>
              <w:t xml:space="preserve">In 2017, the Australian Government funded the Tasmanian Government for operating the Mersey Community Hospital. The payment was made as a single lump sum payment but funds are being accrued over a 10-year period. Australian Government expenditure for Mersey Community Hospital from 2007–08 has not been offset from Tasmanian government’s expenditure.</w:t>
            </w:r>
          </w:p>
          <w:p>
            <w:pPr>
              <w:pStyle w:val="ListParagraph"/>
              <w:numPr>
                <w:ilvl w:val="0"/>
                <w:numId w:val="2"/>
              </w:numPr>
            </w:pPr>
            <w:r>
              <w:rPr>
                <w:rStyle w:val="row-content-rich-text"/>
              </w:rPr>
              <w:t xml:space="preserve">The ABS implemented a new classification system for the reporting of government finance statistics for the 2017–18 period onwards. Estimates from 2017–18 onwards are not directly comparable with previously published data.</w:t>
            </w:r>
          </w:p>
          <w:p>
            <w:pPr>
              <w:pStyle w:val="ListParagraph"/>
              <w:numPr>
                <w:ilvl w:val="0"/>
                <w:numId w:val="2"/>
              </w:numPr>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rather than by reference to earlier editions.</w:t>
            </w:r>
          </w:p>
          <w:p>
            <w:pPr>
              <w:spacing w:after="160"/>
            </w:pPr>
            <w:r>
              <w:rPr>
                <w:rStyle w:val="row-content-rich-text"/>
                <w:b/>
              </w:rPr>
              <w:t xml:space="preserve">Description</w:t>
            </w:r>
          </w:p>
          <w:p>
            <w:pPr>
              <w:spacing w:after="160"/>
            </w:pPr>
            <w:r>
              <w:rPr>
                <w:rStyle w:val="row-content-rich-text"/>
              </w:rPr>
              <w:t xml:space="preserve">The AIHW compiles, annually, the health expenditure estimates, which comprises a wide range of information about health expenditure in Australia, and is the foundation of the Australian National Health Accounts (ANHA). The ANHA is developed to provide an understanding of the long term trends in overall health expenditure and how they are changing over time.</w:t>
            </w:r>
          </w:p>
          <w:p>
            <w:pPr>
              <w:spacing w:after="160"/>
            </w:pPr>
            <w:r>
              <w:rPr>
                <w:rStyle w:val="row-content-rich-text"/>
              </w:rPr>
              <w:t xml:space="preserve">The ANHA are reported in the annual </w:t>
            </w:r>
            <w:r>
              <w:rPr>
                <w:rStyle w:val="row-content-rich-text"/>
                <w:i/>
              </w:rPr>
              <w:t xml:space="preserve">Health expenditure Australia</w:t>
            </w:r>
            <w:r>
              <w:rPr>
                <w:rStyle w:val="row-content-rich-text"/>
              </w:rPr>
              <w:t xml:space="preserve"> report about 15 months after the end of the financial year and are provided to the Organisation of Economic Cooperation and Development and World Health Organisation according to the international System of Health Accounts classification. Each release provides a 10-year time series from the reference year. In 2019–20 release, data are presented from 2009–10.</w:t>
            </w:r>
          </w:p>
          <w:p>
            <w:pPr/>
            <w:r>
              <w:rPr>
                <w:rStyle w:val="row-content-rich-text"/>
              </w:rPr>
              <w:t xml:space="preserve">The AIHW’s Health Expenditure Advisory Committee gives advice on the health expenditure collection and reporting. The committee consists of representatives from the ABS, Australian Prudential Regulation Authority, Commonwealth Grants Commission, Department of Health, Department of Human Services, Department of Veterans' Affairs, Independent Hospital Pricing Authority (IHPA), Treasury, National Health Funding Body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96c9df9ab764ac3">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991e3e72fcfa458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498bf37b9e340e5">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c1436fbb6a554c09">
              <w:r>
                <w:rPr>
                  <w:rStyle w:val="Hyperlink"/>
                </w:rPr>
                <w:t xml:space="preserve">www.aihw.gov.au/about-us</w:t>
              </w:r>
            </w:hyperlink>
            <w:r>
              <w:rPr>
                <w:rStyle w:val="row-content-rich-text"/>
              </w:rPr>
              <w:t xml:space="preserve">, which includes details about the AIHW’s governance (</w:t>
            </w:r>
            <w:hyperlink w:history="true" r:id="Rff4199f82422439a">
              <w:r>
                <w:rPr>
                  <w:rStyle w:val="Hyperlink"/>
                </w:rPr>
                <w:t xml:space="preserve">www.aihw.gov.au/about-us/our-governance</w:t>
              </w:r>
            </w:hyperlink>
            <w:r>
              <w:rPr>
                <w:rStyle w:val="row-content-rich-text"/>
              </w:rPr>
              <w:t xml:space="preserve">) and vision and strategic goals (</w:t>
            </w:r>
            <w:hyperlink w:history="true" r:id="R6c4483ff09384cb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AIHW’s reporting on health expenditure includes ANHA, which are distinct from but related to the Australian National Accounts produced by the Australian Bureau of Statistics (ABS) and the System of Health Accounts reported by the OECD, Eurostat and WHO.</w:t>
            </w:r>
          </w:p>
          <w:p>
            <w:pPr/>
            <w:r>
              <w:rPr>
                <w:rStyle w:val="row-content-rich-text"/>
              </w:rPr>
              <w:t xml:space="preserve">The AIHW compiles its Health Expenditure Database from a wide variety of government and non-government data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also sourced from the ABS, Australian Prudential Regulation Authority, Australian Taxation Office, Comcare,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of </w:t>
            </w:r>
            <w:r>
              <w:rPr>
                <w:rStyle w:val="row-content-rich-text"/>
                <w:i/>
              </w:rPr>
              <w:t xml:space="preserve">Health expenditure Australia 2019–20</w:t>
            </w:r>
            <w:r>
              <w:rPr>
                <w:rStyle w:val="row-content-rich-text"/>
              </w:rPr>
              <w:t xml:space="preserve">, includes data for the 2019–20 financial year, as well as data back to 2009–10.</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may impact on the release date.</w:t>
            </w:r>
          </w:p>
          <w:p>
            <w:pPr/>
            <w:r>
              <w:rPr>
                <w:rStyle w:val="row-content-rich-text"/>
              </w:rPr>
              <w:t xml:space="preserve">The data are generally released about 15 months after the end of the reference year, as part of the annual </w:t>
            </w:r>
            <w:r>
              <w:rPr>
                <w:rStyle w:val="row-content-rich-text"/>
                <w:i/>
              </w:rPr>
              <w:t xml:space="preserve">Health expenditure Australia</w:t>
            </w:r>
            <w:r>
              <w:rPr>
                <w:rStyle w:val="row-content-rich-text"/>
              </w:rPr>
              <w:t xml:space="preserve"> series of publications. Due to the COVID-19 disruptions to data supply, </w:t>
            </w:r>
            <w:r>
              <w:rPr>
                <w:rStyle w:val="row-content-rich-text"/>
                <w:i/>
              </w:rPr>
              <w:t xml:space="preserve">Health expenditure Australia 2019–20</w:t>
            </w:r>
            <w:r>
              <w:rPr>
                <w:rStyle w:val="row-content-rich-text"/>
              </w:rPr>
              <w:t xml:space="preserve"> is published later than this normal timeline.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w:t>
            </w:r>
            <w:hyperlink w:history="true" r:id="R33afba372bb0473a">
              <w:r>
                <w:rPr>
                  <w:rStyle w:val="Hyperlink"/>
                </w:rPr>
                <w:t xml:space="preserve">here</w:t>
              </w:r>
            </w:hyperlink>
            <w:r>
              <w:rPr>
                <w:rStyle w:val="row-content-rich-text"/>
              </w:rPr>
              <w:t xml:space="preserve">.</w:t>
            </w:r>
          </w:p>
          <w:p>
            <w:pPr>
              <w:spacing w:after="160"/>
            </w:pPr>
            <w:r>
              <w:rPr>
                <w:rStyle w:val="row-content-rich-text"/>
              </w:rPr>
              <w:t xml:space="preserve">Additional tables that support the analysis presented in </w:t>
            </w:r>
            <w:r>
              <w:rPr>
                <w:rStyle w:val="row-content-rich-text"/>
                <w:i/>
              </w:rPr>
              <w:t xml:space="preserve">Health expenditure Australia 2019–20</w:t>
            </w:r>
            <w:r>
              <w:rPr>
                <w:rStyle w:val="row-content-rich-text"/>
              </w:rPr>
              <w:t xml:space="preserve"> are available in Excel format and can be downloaded </w:t>
            </w:r>
            <w:hyperlink w:history="true" r:id="R0495b38fa9c7468a">
              <w:r>
                <w:rPr>
                  <w:rStyle w:val="Hyperlink"/>
                </w:rPr>
                <w:t xml:space="preserve">here</w:t>
              </w:r>
            </w:hyperlink>
            <w:r>
              <w:rPr>
                <w:rStyle w:val="row-content-rich-text"/>
              </w:rPr>
              <w:t xml:space="preserve">.</w:t>
            </w:r>
          </w:p>
          <w:p>
            <w:pPr>
              <w:spacing w:after="160"/>
            </w:pPr>
            <w:r>
              <w:rPr>
                <w:rStyle w:val="row-content-rich-text"/>
              </w:rPr>
              <w:t xml:space="preserve">Data are also available through a </w:t>
            </w:r>
            <w:hyperlink w:history="true" r:id="R3f0b7d86a19f4fd4">
              <w:r>
                <w:rPr>
                  <w:rStyle w:val="Hyperlink"/>
                </w:rPr>
                <w:t xml:space="preserve">data visualisation tool</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e3ca6dc91d774bd0">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Health Economics Unit via email to </w:t>
            </w:r>
            <w:hyperlink w:history="true" r:id="R1ff480ae17734c16">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d8772e19128740e1">
              <w:r>
                <w:rPr>
                  <w:rStyle w:val="Hyperlink"/>
                  <w:i/>
                </w:rPr>
                <w:t xml:space="preserve">Australian National Health Account: concepts, methodology and data sources</w:t>
              </w:r>
            </w:hyperlink>
            <w:r>
              <w:rPr>
                <w:rStyle w:val="row-content-rich-text"/>
              </w:rPr>
              <w:t xml:space="preserve"> for detailed descriptions of concepts, definitions, data sources and estimation methods, and see the Glossary for the terms used.</w:t>
            </w:r>
          </w:p>
          <w:p>
            <w:pPr>
              <w:spacing w:after="160"/>
            </w:pPr>
            <w:r>
              <w:rPr>
                <w:rStyle w:val="row-content-rich-text"/>
              </w:rPr>
              <w:t xml:space="preserve">Also see </w:t>
            </w:r>
            <w:hyperlink w:history="true" r:id="Rbc624593eff24709">
              <w:r>
                <w:rPr>
                  <w:rStyle w:val="Hyperlink"/>
                  <w:i/>
                </w:rPr>
                <w:t xml:space="preserve">Comparison and alignment of Australian health expenditure estimates</w:t>
              </w:r>
            </w:hyperlink>
            <w:r>
              <w:rPr>
                <w:rStyle w:val="row-content-rich-text"/>
              </w:rPr>
              <w:t xml:space="preserve"> for similarities and differences of different health spending figures in different reports.</w:t>
            </w:r>
          </w:p>
          <w:p>
            <w:pPr/>
            <w:r>
              <w:rPr>
                <w:rStyle w:val="row-content-rich-text"/>
              </w:rPr>
              <w:t xml:space="preserve">Further information on the GHE NMDS can also be found </w:t>
            </w:r>
            <w:hyperlink w:history="true" r:id="Rb0c087715721404c">
              <w:r>
                <w:rPr>
                  <w:rStyle w:val="Hyperlink"/>
                </w:rPr>
                <w:t xml:space="preserve">here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Total health expenditure reported for Australia (both domestically and internationally) is known to be an underestimate—it excludes some types of health-related expenditure, including some local government expenditure and occupational health spending by non-government sources such as private enterprises. 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The AIHW’s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planning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governments to monitor the impact of their policy initiatives as well as broader social and economic trends on health spending.</w:t>
            </w:r>
          </w:p>
          <w:p>
            <w:pPr>
              <w:spacing w:after="160"/>
            </w:pPr>
            <w:r>
              <w:rPr>
                <w:rStyle w:val="row-content-rich-text"/>
              </w:rPr>
              <w:t xml:space="preserve">The AIHW does not separately collect health expenditure information from local government authorities.</w:t>
            </w:r>
          </w:p>
          <w:p>
            <w:pPr>
              <w:spacing w:after="160"/>
            </w:pPr>
            <w:r>
              <w:rPr>
                <w:rStyle w:val="row-content-rich-text"/>
                <w:b/>
              </w:rPr>
              <w:t xml:space="preserve">Reference period</w:t>
            </w:r>
          </w:p>
          <w:p>
            <w:pPr>
              <w:spacing w:after="160"/>
            </w:pPr>
            <w:r>
              <w:rPr>
                <w:rStyle w:val="row-content-rich-text"/>
              </w:rPr>
              <w:t xml:space="preserve">The most recent reference period of these data is the 2019−20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analysed and categorised in terms of the AIHW’s classification of area of expenditure and source of funds as well as the OECD, Eurostat &amp; WHO’s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Some services provided in hospitals attract a subsidy from either the MBS or PBS. Up to now, hospital spending estimates have not explicitly treated any MBS spending as public hospital spending (it is treated as spending on ‘referred’ or ‘unreferred’ medical services) and only some PBS items. This is primarily because limitations in the MBS data mean public hospital spending cannot be directly derived. An attempt has been made in the latest reporting to quantify these additional amounts, particularly for public hospital.</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rPr>
              <w:t xml:space="preserve">Best efforts are made to ensure the accuracy of the published figures. However, there are usually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rather than by reference to earlier editions. In Health expenditure Australia 2019–20, some changes are made to the health expenditure database due to:</w:t>
            </w:r>
          </w:p>
          <w:p>
            <w:pPr>
              <w:pStyle w:val="ListParagraph"/>
              <w:numPr>
                <w:ilvl w:val="0"/>
                <w:numId w:val="3"/>
              </w:numPr>
            </w:pPr>
            <w:r>
              <w:rPr>
                <w:rStyle w:val="row-content-rich-text"/>
              </w:rPr>
              <w:t xml:space="preserve">Resubmission of historical data by Department of Veterans Affairs, some states and territories, and some injury compensation regulators</w:t>
            </w:r>
          </w:p>
          <w:p>
            <w:pPr>
              <w:pStyle w:val="ListParagraph"/>
              <w:numPr>
                <w:ilvl w:val="0"/>
                <w:numId w:val="3"/>
              </w:numPr>
            </w:pPr>
            <w:r>
              <w:rPr>
                <w:rStyle w:val="row-content-rich-text"/>
              </w:rPr>
              <w:t xml:space="preserve">Changes in methodology to correct historical errors for some Department of Health cost centres, dental expenditure, and ABS research.</w:t>
            </w:r>
          </w:p>
          <w:p>
            <w:pPr>
              <w:spacing w:after="160"/>
            </w:pPr>
            <w:r>
              <w:rPr>
                <w:rStyle w:val="row-content-rich-text"/>
                <w:b/>
              </w:rPr>
              <w:t xml:space="preserve">Data validation</w:t>
            </w:r>
          </w:p>
          <w:p>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ANHA aims to support a long-term, whole-of-system understanding of health spending nationally and over time. This system is unique in Australia and it varies from other health system reporting in scope, degree of stability over time and classification systems used. Other systems tend to focus on specific funding programs, jurisdictions or time periods.</w:t>
            </w:r>
          </w:p>
          <w:p>
            <w:pPr>
              <w:spacing w:after="160"/>
            </w:pPr>
            <w:r>
              <w:rPr>
                <w:rStyle w:val="row-content-rich-text"/>
              </w:rPr>
              <w:t xml:space="preserve">The long-term holistic approach requires developing methods to appropriately allocate spending figures from multiple and often overlapping data sources. These sources change over time to the relatively stable ‘area’ and ‘source’ categories used in the ANHA. In doing so, care is taken to avoid the risk of misallocation, unnecessary breaks in the time series, missed data and double counting.</w:t>
            </w:r>
          </w:p>
          <w:p>
            <w:pPr>
              <w:spacing w:after="160"/>
            </w:pPr>
            <w:r>
              <w:rPr>
                <w:rStyle w:val="row-content-rich-text"/>
              </w:rPr>
              <w:t xml:space="preserve">The methods used in the ANHA are overseen by the Health Expenditure Advisory Committee (HEAC). The HEAC includes subject matter experts and representatives from the Australian Government and all state and territory governments. The AIHW has worked with the HEAC over many years to develop approaches to maximise the completeness and accuracy of the estimates over time and minimise the risk of double counting. For example, when estimating total spending on hospital services in a year, the funds the Australian Government gives to states and territories is subtracted from the hospital spending reported by the states and territories to derive the amount that the states and territories spent from their own resources.</w:t>
            </w:r>
          </w:p>
          <w:p>
            <w:pPr>
              <w:spacing w:after="160"/>
            </w:pPr>
            <w:r>
              <w:rPr>
                <w:rStyle w:val="row-content-rich-text"/>
              </w:rPr>
              <w:t xml:space="preserve">This holistic approach, unique classification system and methods developed mean the figures reported here often vary from other data sources, particularly where other reporting tends to focus on specific funding programs, institutions, funders or purposes. For example, program-specific reporting such as for the Medicare Benefits Scheme, government budget papers or health department annual reports vary from the figures here due to differing classifications, scopes and methods used to account for double counting.</w:t>
            </w:r>
          </w:p>
          <w:p>
            <w:pPr>
              <w:spacing w:after="160"/>
            </w:pPr>
            <w:r>
              <w:rPr>
                <w:rStyle w:val="row-content-rich-text"/>
              </w:rPr>
              <w:t xml:space="preserve">As part of ongoing data quality improvement activities, the AIHW, through the HEAC, works with the ABS, the Australian Government, state and territory governments, the NHFB, the OECD, Eurostat &amp; WHO and other data suppliers to ensure the estimates presented in the ANHA are as complete and accurate as possible and reflect changes in health system financing over time.</w:t>
            </w:r>
          </w:p>
          <w:p>
            <w:pPr>
              <w:spacing w:after="160"/>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reports to ensure consistency and comparability in these statistics over time.</w:t>
            </w:r>
          </w:p>
          <w:p>
            <w:pPr>
              <w:spacing w:after="160"/>
            </w:pPr>
            <w:r>
              <w:rPr>
                <w:rStyle w:val="row-content-rich-text"/>
              </w:rPr>
              <w:t xml:space="preserve">Throughout the years, there have been changes in the cost centres data provided by the Australian Department of Health which might lead to changes in the classification of areas of expenditure for some items.</w:t>
            </w:r>
          </w:p>
          <w:p>
            <w:pPr>
              <w:spacing w:after="160"/>
            </w:pPr>
            <w:r>
              <w:rPr>
                <w:rStyle w:val="row-content-rich-text"/>
              </w:rPr>
              <w:t xml:space="preserve">The final Australian Bureau of Statistics (ABS) Private Hospital Establishment Collection (PHEC) was conducted for the 2016–17 reporting period. Data from this collection contributed to estimates of both individual and other private expenditure. The expenditure estimates for 2017–18 have been modelled using historical PHEC data. From 2018–19, the Private Hospital Data Bureau (PHDB) is used to estimate the patient revenue component of private hospitals. In 2019–20, the other revenue component is modelled on historical data using the growth rate of the patient revenue component. Therefore, the private hospital expenditure in 2018–19 and 2019–20 might not be directly comparable with previously published data.</w:t>
            </w:r>
          </w:p>
          <w:p>
            <w:pPr>
              <w:spacing w:after="160"/>
            </w:pPr>
            <w:r>
              <w:rPr>
                <w:rStyle w:val="row-content-rich-text"/>
              </w:rPr>
              <w:t xml:space="preserve">Data for over-the-counter sales of health-related products by individuals at supermarkets and retail pharmacies for the period 2016–17 to 2019–20 are sourced from Information Resources Incorporated (IRI), which might have different scope compared to the years prior to 2016–17.</w:t>
            </w:r>
          </w:p>
          <w:p>
            <w:pPr>
              <w:spacing w:after="160"/>
            </w:pPr>
            <w:r>
              <w:rPr>
                <w:rStyle w:val="row-content-rich-text"/>
              </w:rPr>
              <w:t xml:space="preserve">Due to data unavailability, individuals’ expenditure on private scripts in 2019–20 is continued to be modelled on historical data.</w:t>
            </w:r>
          </w:p>
          <w:p>
            <w:pPr/>
            <w:r>
              <w:rPr>
                <w:rStyle w:val="row-content-rich-text"/>
              </w:rPr>
              <w:t xml:space="preserve">In 2017, the Australian Government funded the Tasmanian Government for operating the Mersey Community Hospital. The payment was made as a single lump sum payment but funds will be accrued over a 10-year period. Australian Government expenditure for Mersey Community Hospital from 2007–08 has not been offset from Tasmanian government’s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2021. </w:t>
            </w:r>
            <w:r>
              <w:rPr>
                <w:rStyle w:val="row-content-rich-text"/>
                <w:i/>
              </w:rPr>
              <w:t xml:space="preserve">Health expenditure Australia 2019–20</w:t>
            </w:r>
            <w:r>
              <w:rPr>
                <w:rStyle w:val="row-content-rich-text"/>
              </w:rPr>
              <w:t xml:space="preserve">. Health and welfare expenditure series no. 65. Cat. no. HWE 87. Canberra: AIHW.</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73341c6bec4c89">
              <w:r>
                <w:rPr>
                  <w:rStyle w:val="Hyperlink"/>
                </w:rPr>
                <w:t xml:space="preserve">Health expenditure database 2018–19; Quality Statement</w:t>
              </w:r>
            </w:hyperlink>
          </w:p>
          <w:p>
            <w:pPr>
              <w:spacing w:before="0" w:after="0"/>
            </w:pPr>
            <w:r>
              <w:rPr>
                <w:rStyle w:val="row-content"/>
                <w:color w:val="244061"/>
              </w:rPr>
              <w:t xml:space="preserve">       </w:t>
            </w:r>
            <w:hyperlink w:history="true" r:id="R08bd5175e0b14856">
              <w:r>
                <w:rPr>
                  <w:rStyle w:val="Hyperlink"/>
                  <w:color w:val="244061"/>
                </w:rPr>
                <w:t xml:space="preserve">AIHW Data Quality Statements</w:t>
              </w:r>
            </w:hyperlink>
            <w:r>
              <w:rPr>
                <w:rStyle w:val="row-content"/>
                <w:color w:val="244061"/>
              </w:rPr>
              <w:t xml:space="preserve">, Superseded 26/11/2021</w:t>
            </w:r>
          </w:p>
          <w:p>
            <w:r>
              <w:br/>
            </w:r>
            <w:r>
              <w:rPr>
                <w:rStyle w:val="row-content"/>
              </w:rPr>
              <w:t xml:space="preserve">Has been superseded by </w:t>
            </w:r>
            <w:hyperlink w:history="true" r:id="R6e0eb3e420294b74">
              <w:r>
                <w:rPr>
                  <w:rStyle w:val="Hyperlink"/>
                </w:rPr>
                <w:t xml:space="preserve">Health expenditure database 2020–21; Quality Statement</w:t>
              </w:r>
            </w:hyperlink>
          </w:p>
          <w:p>
            <w:pPr>
              <w:spacing w:before="0" w:after="0"/>
            </w:pPr>
            <w:r>
              <w:rPr>
                <w:rStyle w:val="row-content"/>
                <w:color w:val="244061"/>
              </w:rPr>
              <w:t xml:space="preserve">       </w:t>
            </w:r>
            <w:hyperlink w:history="true" r:id="R07981cb4bf6140e3">
              <w:r>
                <w:rPr>
                  <w:rStyle w:val="Hyperlink"/>
                  <w:color w:val="244061"/>
                </w:rPr>
                <w:t xml:space="preserve">AIHW Data Quality Statements</w:t>
              </w:r>
            </w:hyperlink>
            <w:r>
              <w:rPr>
                <w:rStyle w:val="row-content"/>
                <w:color w:val="244061"/>
              </w:rPr>
              <w:t xml:space="preserve">, Superseded 25/10/2023</w:t>
            </w:r>
          </w:p>
          <w:p>
            <w:r>
              <w:br/>
            </w:r>
          </w:p>
        </w:tc>
      </w:tr>
    </w:tbl>
    <w:p>
      <w:r>
        <w:br/>
      </w:r>
    </w:p>
    <w:sectPr>
      <w:footerReference xmlns:r="http://schemas.openxmlformats.org/officeDocument/2006/relationships" w:type="default" r:id="Re0989673390c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752018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692ffc9da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89673390c41d8" /><Relationship Type="http://schemas.openxmlformats.org/officeDocument/2006/relationships/header" Target="/word/header1.xml" Id="Rc21c55bba0654f08" /><Relationship Type="http://schemas.openxmlformats.org/officeDocument/2006/relationships/settings" Target="/word/settings.xml" Id="R1df483666fff4ff3" /><Relationship Type="http://schemas.openxmlformats.org/officeDocument/2006/relationships/styles" Target="/word/styles.xml" Id="R8cb8c8257f794107" /><Relationship Type="http://schemas.openxmlformats.org/officeDocument/2006/relationships/hyperlink" Target="https://meteor.aihw.gov.au/RegistrationAuthority/5" TargetMode="External" Id="R1d22f587b50947d8" /><Relationship Type="http://schemas.openxmlformats.org/officeDocument/2006/relationships/numbering" Target="/word/numbering.xml" Id="R41e653efaf044ca7" /><Relationship Type="http://schemas.openxmlformats.org/officeDocument/2006/relationships/hyperlink" Target="http://www.comlaw.gov.au/Series/C2004A03450" TargetMode="External" Id="R796c9df9ab764ac3" /><Relationship Type="http://schemas.openxmlformats.org/officeDocument/2006/relationships/hyperlink" Target="http://www.aihw.gov.au/aihw-board/" TargetMode="External" Id="R991e3e72fcfa458f" /><Relationship Type="http://schemas.openxmlformats.org/officeDocument/2006/relationships/hyperlink" Target="https://www.legislation.gov.au/Details/C2021C00452" TargetMode="External" Id="R6498bf37b9e340e5" /><Relationship Type="http://schemas.openxmlformats.org/officeDocument/2006/relationships/hyperlink" Target="https://www.aihw.gov.au/about-us" TargetMode="External" Id="Rc1436fbb6a554c09" /><Relationship Type="http://schemas.openxmlformats.org/officeDocument/2006/relationships/hyperlink" Target="https://www.aihw.gov.au/about-us/our-governance" TargetMode="External" Id="Rff4199f82422439a" /><Relationship Type="http://schemas.openxmlformats.org/officeDocument/2006/relationships/hyperlink" Target="https://www.aihw.gov.au/about-us/our-vision-and-strategic-goals" TargetMode="External" Id="R6c4483ff09384cba" /><Relationship Type="http://schemas.openxmlformats.org/officeDocument/2006/relationships/hyperlink" Target="https://aihw.gov.au/reports-data/health-welfare-overview/health-welfare-expenditure/overview" TargetMode="External" Id="R33afba372bb0473a" /><Relationship Type="http://schemas.openxmlformats.org/officeDocument/2006/relationships/hyperlink" Target="https://aihw.gov.au/reports/health-welfare-expenditure/health-expenditure-australia-2019-20/data" TargetMode="External" Id="R0495b38fa9c7468a" /><Relationship Type="http://schemas.openxmlformats.org/officeDocument/2006/relationships/hyperlink" Target="https://aihw.gov.au/reports/health-welfare-expenditure/health-expenditure-australia-2019-20/contents/main-visualisations/overview" TargetMode="External" Id="R3f0b7d86a19f4fd4" /><Relationship Type="http://schemas.openxmlformats.org/officeDocument/2006/relationships/hyperlink" Target="mailto:info@aihw.gov.au" TargetMode="External" Id="Re3ca6dc91d774bd0" /><Relationship Type="http://schemas.openxmlformats.org/officeDocument/2006/relationships/hyperlink" Target="mailto:info@aihw.gov.au" TargetMode="External" Id="R1ff480ae17734c16" /><Relationship Type="http://schemas.openxmlformats.org/officeDocument/2006/relationships/hyperlink" Target="https://aihw.gov.au/reports/health-welfare-expenditure/health-expenditure-australia-2019-20/contents/overview-of-data-sources-and-methodology" TargetMode="External" Id="Rd8772e19128740e1" /><Relationship Type="http://schemas.openxmlformats.org/officeDocument/2006/relationships/hyperlink" Target="https://aihw.gov.au/reports/health-welfare-expenditure/health-expenditure-australia-2019-20/contents/comparison-and-alignment-of-health-expenditure-estimates/different-reports-on-health-expenditure" TargetMode="External" Id="Rbc624593eff24709" /><Relationship Type="http://schemas.openxmlformats.org/officeDocument/2006/relationships/hyperlink" Target="https://meteor.aihw.gov.au/content/540601" TargetMode="External" Id="Rb0c087715721404c" /><Relationship Type="http://schemas.openxmlformats.org/officeDocument/2006/relationships/hyperlink" Target="https://meteor.aihw.gov.au/content/735937" TargetMode="External" Id="Rcb73341c6bec4c89" /><Relationship Type="http://schemas.openxmlformats.org/officeDocument/2006/relationships/hyperlink" Target="https://meteor.aihw.gov.au/RegistrationAuthority/5" TargetMode="External" Id="R08bd5175e0b14856" /><Relationship Type="http://schemas.openxmlformats.org/officeDocument/2006/relationships/hyperlink" Target="https://meteor.aihw.gov.au/content/767468" TargetMode="External" Id="R6e0eb3e420294b74" /><Relationship Type="http://schemas.openxmlformats.org/officeDocument/2006/relationships/hyperlink" Target="https://meteor.aihw.gov.au/RegistrationAuthority/5" TargetMode="External" Id="R07981cb4bf6140e3" /></Relationships>
</file>

<file path=word/_rels/header1.xml.rels>&#65279;<?xml version="1.0" encoding="utf-8"?><Relationships xmlns="http://schemas.openxmlformats.org/package/2006/relationships"><Relationship Type="http://schemas.openxmlformats.org/officeDocument/2006/relationships/image" Target="/media/image.png" Id="R8e9692ffc9da42e2" /></Relationships>
</file>