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083f114be4f49" /></Relationships>
</file>

<file path=word/document.xml><?xml version="1.0" encoding="utf-8"?>
<w:document xmlns:r="http://schemas.openxmlformats.org/officeDocument/2006/relationships" xmlns:w="http://schemas.openxmlformats.org/wordprocessingml/2006/main">
  <w:body>
    <w:p>
      <w:pPr>
        <w:pStyle w:val="Title"/>
      </w:pPr>
      <w:r>
        <w:t>Health expenditure database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a41ac7f304d16">
              <w:r>
                <w:rPr>
                  <w:rStyle w:val="Hyperlink"/>
                  <w:color w:val="244061"/>
                </w:rPr>
                <w:t xml:space="preserve">AIHW Data Quality Statements</w:t>
              </w:r>
            </w:hyperlink>
            <w:r>
              <w:rPr>
                <w:rStyle w:val="row-content"/>
                <w:color w:val="244061"/>
              </w:rPr>
              <w:t xml:space="preserve">, Superseded 04/11/2022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Australian Institute of Health and Welfare (AIHW) Health Expenditure Database, excludes some types of health-related expenditure, including residential aged care, welfare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To create the estimates for Australian Government spending, each year the AIHW is provided with an extract of accounting data from the Australian Government Department of Health and works with the Department to allocate each expenditure item to its most appropriate area of spending. Throughout the years, there have been changes in both the data and approaches to allocation. While every effort is made to ensure consistency, this can lead to changes in the classification of areas of expenditure for some items.</w:t>
            </w:r>
          </w:p>
          <w:p>
            <w:pPr>
              <w:pStyle w:val="ListParagraph"/>
              <w:numPr>
                <w:ilvl w:val="0"/>
                <w:numId w:val="2"/>
              </w:numPr>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In 2019–20, the other revenue component is modelled on historical data using the growth rate of the patient revenue component. Therefore, the private hospital expenditure in 2018–19 and 2019–20 might not be directly comparable with previously published data.</w:t>
            </w:r>
          </w:p>
          <w:p>
            <w:pPr>
              <w:pStyle w:val="ListParagraph"/>
              <w:numPr>
                <w:ilvl w:val="0"/>
                <w:numId w:val="2"/>
              </w:numPr>
            </w:pPr>
            <w:r>
              <w:rPr>
                <w:rStyle w:val="row-content-rich-text"/>
              </w:rPr>
              <w:t xml:space="preserve">Data for over-the-counter sales of health-related products by individuals at supermarkets and retail pharmacies for the period 2016–17 to 2019–20 are sourced from Information Resources Incorporated (IRI) data collection. This collection changes over time and can have different scopes compared to the years prior to 2016–17. Therefore, cautions need to be exercised in relevant comparisons.</w:t>
            </w:r>
          </w:p>
          <w:p>
            <w:pPr>
              <w:pStyle w:val="ListParagraph"/>
              <w:numPr>
                <w:ilvl w:val="0"/>
                <w:numId w:val="2"/>
              </w:numPr>
            </w:pPr>
            <w:r>
              <w:rPr>
                <w:rStyle w:val="row-content-rich-text"/>
              </w:rPr>
              <w:t xml:space="preserve">Due to data unavailability, individuals’ expenditure on private scripts in 2019–20 is continued to be modelled using historical data and the growth rates of private health insurance coverage and fees charges.</w:t>
            </w:r>
          </w:p>
          <w:p>
            <w:pPr>
              <w:pStyle w:val="ListParagraph"/>
              <w:numPr>
                <w:ilvl w:val="0"/>
                <w:numId w:val="2"/>
              </w:numPr>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from 2007–08 has not been offset from Tasmanian government’s expenditure.</w:t>
            </w:r>
          </w:p>
          <w:p>
            <w:pPr>
              <w:pStyle w:val="ListParagraph"/>
              <w:numPr>
                <w:ilvl w:val="0"/>
                <w:numId w:val="2"/>
              </w:numPr>
            </w:pPr>
            <w:r>
              <w:rPr>
                <w:rStyle w:val="row-content-rich-text"/>
              </w:rPr>
              <w:t xml:space="preserve">The ABS implemented a new classification system for the reporting of government finance statistics for the 2017–18 period onwards. Estimates from 2017–18 onwards are not directly comparable with previously published data.</w:t>
            </w:r>
          </w:p>
          <w:p>
            <w:pPr>
              <w:pStyle w:val="ListParagraph"/>
              <w:numPr>
                <w:ilvl w:val="0"/>
                <w:numId w:val="2"/>
              </w:numPr>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w:t>
            </w:r>
          </w:p>
          <w:p>
            <w:pPr>
              <w:spacing w:after="160"/>
            </w:pPr>
            <w:r>
              <w:rPr>
                <w:rStyle w:val="row-content-rich-text"/>
                <w:b/>
              </w:rPr>
              <w:t xml:space="preserve">Description</w:t>
            </w:r>
          </w:p>
          <w:p>
            <w:pPr>
              <w:spacing w:after="160"/>
            </w:pPr>
            <w:r>
              <w:rPr>
                <w:rStyle w:val="row-content-rich-text"/>
              </w:rPr>
              <w:t xml:space="preserve">The AIHW compiles, annually, the health expenditure estimates, which comprises a wide range of information about health expenditure in Australia, and is the foundation of the Australian National Health Accounts (ANHA). The ANHA is developed to provide an understanding of the long term trends in overall health expenditure and how they are changing over time.</w:t>
            </w:r>
          </w:p>
          <w:p>
            <w:pPr>
              <w:spacing w:after="160"/>
            </w:pPr>
            <w:r>
              <w:rPr>
                <w:rStyle w:val="row-content-rich-text"/>
              </w:rPr>
              <w:t xml:space="preserve">The ANHA are reported in the annual </w:t>
            </w:r>
            <w:r>
              <w:rPr>
                <w:rStyle w:val="row-content-rich-text"/>
                <w:i/>
              </w:rPr>
              <w:t xml:space="preserve">Health expenditure Australia</w:t>
            </w:r>
            <w:r>
              <w:rPr>
                <w:rStyle w:val="row-content-rich-text"/>
              </w:rPr>
              <w:t xml:space="preserve"> report about 15 months after the end of the financial year and are provided to the Organisation of Economic Cooperation and Development and World Health Organisation according to the international System of Health Accounts classification. Each release provides a 10-year time series from the reference year. In 2019–20 release, data are presented from 2009–10.</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National Health Funding Body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c06761db35849aa">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4d7443b5c13446e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2d363143ad1402d">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b521a1b51ad41f8">
              <w:r>
                <w:rPr>
                  <w:rStyle w:val="Hyperlink"/>
                </w:rPr>
                <w:t xml:space="preserve">www.aihw.gov.au/about-us</w:t>
              </w:r>
            </w:hyperlink>
            <w:r>
              <w:rPr>
                <w:rStyle w:val="row-content-rich-text"/>
              </w:rPr>
              <w:t xml:space="preserve">, which includes details about the AIHW’s governance (</w:t>
            </w:r>
            <w:hyperlink w:history="true" r:id="Rf28a6b68396847c8">
              <w:r>
                <w:rPr>
                  <w:rStyle w:val="Hyperlink"/>
                </w:rPr>
                <w:t xml:space="preserve">www.aihw.gov.au/about-us/our-governance</w:t>
              </w:r>
            </w:hyperlink>
            <w:r>
              <w:rPr>
                <w:rStyle w:val="row-content-rich-text"/>
              </w:rPr>
              <w:t xml:space="preserve">) and vision and strategic goals (</w:t>
            </w:r>
            <w:hyperlink w:history="true" r:id="R2bf17d928aac423d">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 Eurostat and WHO.</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w:t>
            </w:r>
            <w:r>
              <w:rPr>
                <w:rStyle w:val="row-content-rich-text"/>
                <w:i/>
              </w:rPr>
              <w:t xml:space="preserve">Health expenditure Australia 2019–20</w:t>
            </w:r>
            <w:r>
              <w:rPr>
                <w:rStyle w:val="row-content-rich-text"/>
              </w:rPr>
              <w:t xml:space="preserve">, includes data for the 2019–20 financial year, as well as data back to 2009–10.</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r>
              <w:rPr>
                <w:rStyle w:val="row-content-rich-text"/>
              </w:rPr>
              <w:t xml:space="preserve">The data are generally released about 15 months after the end of the reference year, as part of the annual </w:t>
            </w:r>
            <w:r>
              <w:rPr>
                <w:rStyle w:val="row-content-rich-text"/>
                <w:i/>
              </w:rPr>
              <w:t xml:space="preserve">Health expenditure Australia</w:t>
            </w:r>
            <w:r>
              <w:rPr>
                <w:rStyle w:val="row-content-rich-text"/>
              </w:rPr>
              <w:t xml:space="preserve"> series of publications. Due to the COVID-19 disruptions to data supply, </w:t>
            </w:r>
            <w:r>
              <w:rPr>
                <w:rStyle w:val="row-content-rich-text"/>
                <w:i/>
              </w:rPr>
              <w:t xml:space="preserve">Health expenditure Australia 2019–20</w:t>
            </w:r>
            <w:r>
              <w:rPr>
                <w:rStyle w:val="row-content-rich-text"/>
              </w:rPr>
              <w:t xml:space="preserve"> is published later than this normal timeline.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w:t>
            </w:r>
            <w:hyperlink w:history="true" r:id="Rcfe82e6a46454a02">
              <w:r>
                <w:rPr>
                  <w:rStyle w:val="Hyperlink"/>
                </w:rPr>
                <w:t xml:space="preserve">here</w:t>
              </w:r>
            </w:hyperlink>
            <w:r>
              <w:rPr>
                <w:rStyle w:val="row-content-rich-text"/>
              </w:rPr>
              <w:t xml:space="preserve">.</w:t>
            </w:r>
          </w:p>
          <w:p>
            <w:pPr>
              <w:spacing w:after="160"/>
            </w:pPr>
            <w:r>
              <w:rPr>
                <w:rStyle w:val="row-content-rich-text"/>
              </w:rPr>
              <w:t xml:space="preserve">Additional tables that support the analysis presented in </w:t>
            </w:r>
            <w:r>
              <w:rPr>
                <w:rStyle w:val="row-content-rich-text"/>
                <w:i/>
              </w:rPr>
              <w:t xml:space="preserve">Health expenditure Australia 2019–20</w:t>
            </w:r>
            <w:r>
              <w:rPr>
                <w:rStyle w:val="row-content-rich-text"/>
              </w:rPr>
              <w:t xml:space="preserve"> are available in Excel format and can be downloaded </w:t>
            </w:r>
            <w:hyperlink w:history="true" r:id="R7e24091b6c9248b8">
              <w:r>
                <w:rPr>
                  <w:rStyle w:val="Hyperlink"/>
                </w:rPr>
                <w:t xml:space="preserve">here</w:t>
              </w:r>
            </w:hyperlink>
            <w:r>
              <w:rPr>
                <w:rStyle w:val="row-content-rich-text"/>
              </w:rPr>
              <w:t xml:space="preserve">.</w:t>
            </w:r>
          </w:p>
          <w:p>
            <w:pPr>
              <w:spacing w:after="160"/>
            </w:pPr>
            <w:r>
              <w:rPr>
                <w:rStyle w:val="row-content-rich-text"/>
              </w:rPr>
              <w:t xml:space="preserve">Data are also available through a </w:t>
            </w:r>
            <w:hyperlink w:history="true" r:id="Rd8044a5f2f784ffa">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7b69780081334e53">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Health Economics Unit via email to </w:t>
            </w:r>
            <w:hyperlink w:history="true" r:id="Rf7beabdb2b714df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d70576b1aa074b1a">
              <w:r>
                <w:rPr>
                  <w:rStyle w:val="Hyperlink"/>
                  <w:i/>
                </w:rPr>
                <w:t xml:space="preserve">Australian National Health Account: concepts, methodology and data sources</w:t>
              </w:r>
            </w:hyperlink>
            <w:r>
              <w:rPr>
                <w:rStyle w:val="row-content-rich-text"/>
              </w:rPr>
              <w:t xml:space="preserve"> for detailed descriptions of concepts, definitions, data sources and estimation methods, and see the Glossary for the terms used.</w:t>
            </w:r>
          </w:p>
          <w:p>
            <w:pPr>
              <w:spacing w:after="160"/>
            </w:pPr>
            <w:r>
              <w:rPr>
                <w:rStyle w:val="row-content-rich-text"/>
              </w:rPr>
              <w:t xml:space="preserve">Also see </w:t>
            </w:r>
            <w:hyperlink w:history="true" r:id="R39501496fc544983">
              <w:r>
                <w:rPr>
                  <w:rStyle w:val="Hyperlink"/>
                  <w:i/>
                </w:rPr>
                <w:t xml:space="preserve">Comparison and alignment of Australian health expenditure estimates</w:t>
              </w:r>
            </w:hyperlink>
            <w:r>
              <w:rPr>
                <w:rStyle w:val="row-content-rich-text"/>
              </w:rPr>
              <w:t xml:space="preserve"> for similarities and differences of different health spending figures in different reports.</w:t>
            </w:r>
          </w:p>
          <w:p>
            <w:pPr/>
            <w:r>
              <w:rPr>
                <w:rStyle w:val="row-content-rich-text"/>
              </w:rPr>
              <w:t xml:space="preserve">Further information on the GHE NMDS can also be found </w:t>
            </w:r>
            <w:hyperlink w:history="true" r:id="Rade85d449ce5446d">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some local government expenditure and occupational health spending by non-government sources such as private enterprises.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governments to monitor the impact of their policy initiatives as well as broader social and economic trends on health spending.</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2019−20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analysed and categorised in terms of the AIHW’s classification of area of expenditure and source of funds as well as the OECD, Eurostat &amp; WHO’s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Some services provided in hospitals attract a subsidy from either the MBS or PBS. Up to now, hospital spending estimates have not explicitly treated any MBS spending as public hospital spending (it is treated as spending on ‘referred’ or ‘unreferred’ medical services) and only some PBS items. This is primarily because limitations in the MBS data mean public hospital spending cannot be directly derived. An attempt has been made in the latest reporting to quantify these additional amounts, particularly for public hospital.</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rPr>
              <w:t xml:space="preserve">Best efforts are made to ensure the accuracy of the published figures. However, there are usually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 In Health expenditure Australia 2019–20, some changes are made to the health expenditure database due to:</w:t>
            </w:r>
          </w:p>
          <w:p>
            <w:pPr>
              <w:pStyle w:val="ListParagraph"/>
              <w:numPr>
                <w:ilvl w:val="0"/>
                <w:numId w:val="3"/>
              </w:numPr>
            </w:pPr>
            <w:r>
              <w:rPr>
                <w:rStyle w:val="row-content-rich-text"/>
              </w:rPr>
              <w:t xml:space="preserve">Resubmission of historical data by Department of Veterans Affairs, some states and territories, and some injury compensation regulators</w:t>
            </w:r>
          </w:p>
          <w:p>
            <w:pPr>
              <w:pStyle w:val="ListParagraph"/>
              <w:numPr>
                <w:ilvl w:val="0"/>
                <w:numId w:val="3"/>
              </w:numPr>
            </w:pPr>
            <w:r>
              <w:rPr>
                <w:rStyle w:val="row-content-rich-text"/>
              </w:rPr>
              <w:t xml:space="preserve">Changes in methodology to correct historical errors for some Department of Health cost centres, dental expenditure, and ABS research.</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Eurostat &amp; WHO and other data suppliers to ensure the estimates presented in the ANHA are as complete and accurate as possible and reflect changes in health system financing over time.</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w:t>
            </w:r>
          </w:p>
          <w:p>
            <w:pPr>
              <w:spacing w:after="160"/>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In 2019–20, the other revenue component is modelled on historical data using the growth rate of the patient revenue component. Therefore, the private hospital expenditure in 2018–19 and 2019–20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2019–20 are sourced from Information Resources Incorporated (IRI), which might have different scope compared to the years prior to 2016–17.</w:t>
            </w:r>
          </w:p>
          <w:p>
            <w:pPr>
              <w:spacing w:after="160"/>
            </w:pPr>
            <w:r>
              <w:rPr>
                <w:rStyle w:val="row-content-rich-text"/>
              </w:rPr>
              <w:t xml:space="preserve">Due to data unavailability, individuals’ expenditure on private scripts in 2019–20 is continued to be modelled on historical data.</w:t>
            </w:r>
          </w:p>
          <w:p>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2021. </w:t>
            </w:r>
            <w:r>
              <w:rPr>
                <w:rStyle w:val="row-content-rich-text"/>
                <w:i/>
              </w:rPr>
              <w:t xml:space="preserve">Health expenditure Australia 2019–20</w:t>
            </w:r>
            <w:r>
              <w:rPr>
                <w:rStyle w:val="row-content-rich-text"/>
              </w:rPr>
              <w:t xml:space="preserve">. Health and welfare expenditure series no. 65. Cat. no. HWE 87.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82b5885b94dc9">
              <w:r>
                <w:rPr>
                  <w:rStyle w:val="Hyperlink"/>
                </w:rPr>
                <w:t xml:space="preserve">Health expenditure database 2018–19; Quality Statement</w:t>
              </w:r>
            </w:hyperlink>
          </w:p>
          <w:p>
            <w:pPr>
              <w:pStyle w:val="registration-status"/>
              <w:spacing w:before="0" w:after="0"/>
            </w:pPr>
            <w:hyperlink w:history="true" r:id="R3b564a035be044dc">
              <w:r>
                <w:rPr>
                  <w:rStyle w:val="Hyperlink"/>
                  <w:color w:val="244061"/>
                </w:rPr>
                <w:t xml:space="preserve">AIHW Data Quality Statements</w:t>
              </w:r>
            </w:hyperlink>
            <w:r>
              <w:rPr>
                <w:rStyle w:val="row-content"/>
                <w:color w:val="244061"/>
              </w:rPr>
              <w:t xml:space="preserve">, Superseded 26/11/2021</w:t>
            </w:r>
          </w:p>
          <w:p>
            <w:r>
              <w:br/>
            </w:r>
            <w:r>
              <w:rPr>
                <w:rStyle w:val="row-content"/>
              </w:rPr>
              <w:t xml:space="preserve">Has been superseded by </w:t>
            </w:r>
            <w:hyperlink w:history="true" r:id="R90dec9609d8148f5">
              <w:r>
                <w:rPr>
                  <w:rStyle w:val="Hyperlink"/>
                </w:rPr>
                <w:t xml:space="preserve">Health expenditure database 2020–21; Quality Statement</w:t>
              </w:r>
            </w:hyperlink>
          </w:p>
          <w:p>
            <w:pPr>
              <w:pStyle w:val="registration-status"/>
              <w:spacing w:before="0" w:after="0"/>
            </w:pPr>
            <w:hyperlink w:history="true" r:id="R465620a039704a35">
              <w:r>
                <w:rPr>
                  <w:rStyle w:val="Hyperlink"/>
                  <w:color w:val="244061"/>
                </w:rPr>
                <w:t xml:space="preserve">AIHW Data Quality Statements</w:t>
              </w:r>
            </w:hyperlink>
            <w:r>
              <w:rPr>
                <w:rStyle w:val="row-content"/>
                <w:color w:val="244061"/>
              </w:rPr>
              <w:t xml:space="preserve">, Superseded 25/10/2023</w:t>
            </w:r>
          </w:p>
          <w:p>
            <w:r>
              <w:br/>
            </w:r>
          </w:p>
        </w:tc>
      </w:tr>
    </w:tbl>
    <w:p>
      <w:r>
        <w:br/>
      </w:r>
    </w:p>
    <w:sectPr>
      <w:footerReference xmlns:r="http://schemas.openxmlformats.org/officeDocument/2006/relationships" w:type="default" r:id="R23feaf1fca18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4401e4827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eaf1fca1841d7" /><Relationship Type="http://schemas.openxmlformats.org/officeDocument/2006/relationships/header" Target="/word/header1.xml" Id="R57251aeee8d840d8" /><Relationship Type="http://schemas.openxmlformats.org/officeDocument/2006/relationships/settings" Target="/word/settings.xml" Id="R6a6cb4fb15c045bc" /><Relationship Type="http://schemas.openxmlformats.org/officeDocument/2006/relationships/styles" Target="/word/styles.xml" Id="Rbfba4c7faf444a01" /><Relationship Type="http://schemas.openxmlformats.org/officeDocument/2006/relationships/numbering" Target="/word/numbering.xml" Id="R133b48ef3884479f" /><Relationship Type="http://schemas.openxmlformats.org/officeDocument/2006/relationships/hyperlink" Target="https://meteor.aihw.gov.au/RegistrationAuthority/5" TargetMode="External" Id="R544a41ac7f304d16" /><Relationship Type="http://schemas.openxmlformats.org/officeDocument/2006/relationships/hyperlink" Target="http://www.comlaw.gov.au/Series/C2004A03450" TargetMode="External" Id="Rdc06761db35849aa" /><Relationship Type="http://schemas.openxmlformats.org/officeDocument/2006/relationships/hyperlink" Target="http://www.aihw.gov.au/aihw-board/" TargetMode="External" Id="R4d7443b5c13446e8" /><Relationship Type="http://schemas.openxmlformats.org/officeDocument/2006/relationships/hyperlink" Target="https://www.legislation.gov.au/Details/C2021C00452" TargetMode="External" Id="R22d363143ad1402d" /><Relationship Type="http://schemas.openxmlformats.org/officeDocument/2006/relationships/hyperlink" Target="https://www.aihw.gov.au/about-us" TargetMode="External" Id="R0b521a1b51ad41f8" /><Relationship Type="http://schemas.openxmlformats.org/officeDocument/2006/relationships/hyperlink" Target="https://www.aihw.gov.au/about-us/our-governance" TargetMode="External" Id="Rf28a6b68396847c8" /><Relationship Type="http://schemas.openxmlformats.org/officeDocument/2006/relationships/hyperlink" Target="https://www.aihw.gov.au/about-us/our-vision-and-strategic-goals" TargetMode="External" Id="R2bf17d928aac423d" /><Relationship Type="http://schemas.openxmlformats.org/officeDocument/2006/relationships/hyperlink" Target="https://aihw.gov.au/reports-data/health-welfare-overview/health-welfare-expenditure/overview" TargetMode="External" Id="Rcfe82e6a46454a02" /><Relationship Type="http://schemas.openxmlformats.org/officeDocument/2006/relationships/hyperlink" Target="https://aihw.gov.au/reports/health-welfare-expenditure/health-expenditure-australia-2019-20/data" TargetMode="External" Id="R7e24091b6c9248b8" /><Relationship Type="http://schemas.openxmlformats.org/officeDocument/2006/relationships/hyperlink" Target="https://aihw.gov.au/reports/health-welfare-expenditure/health-expenditure-australia-2019-20/contents/main-visualisations/overview" TargetMode="External" Id="Rd8044a5f2f784ffa" /><Relationship Type="http://schemas.openxmlformats.org/officeDocument/2006/relationships/hyperlink" Target="mailto:info@aihw.gov.au" TargetMode="External" Id="R7b69780081334e53" /><Relationship Type="http://schemas.openxmlformats.org/officeDocument/2006/relationships/hyperlink" Target="mailto:info@aihw.gov.au" TargetMode="External" Id="Rf7beabdb2b714dff" /><Relationship Type="http://schemas.openxmlformats.org/officeDocument/2006/relationships/hyperlink" Target="https://aihw.gov.au/reports/health-welfare-expenditure/health-expenditure-australia-2019-20/contents/overview-of-data-sources-and-methodology" TargetMode="External" Id="Rd70576b1aa074b1a" /><Relationship Type="http://schemas.openxmlformats.org/officeDocument/2006/relationships/hyperlink" Target="https://aihw.gov.au/reports/health-welfare-expenditure/health-expenditure-australia-2019-20/contents/comparison-and-alignment-of-health-expenditure-estimates/different-reports-on-health-expenditure" TargetMode="External" Id="R39501496fc544983" /><Relationship Type="http://schemas.openxmlformats.org/officeDocument/2006/relationships/hyperlink" Target="https://meteor.aihw.gov.au/content/540601" TargetMode="External" Id="Rade85d449ce5446d" /><Relationship Type="http://schemas.openxmlformats.org/officeDocument/2006/relationships/hyperlink" Target="https://meteor.aihw.gov.au/content/735937" TargetMode="External" Id="Rd8882b5885b94dc9" /><Relationship Type="http://schemas.openxmlformats.org/officeDocument/2006/relationships/hyperlink" Target="https://meteor.aihw.gov.au/RegistrationAuthority/5" TargetMode="External" Id="R3b564a035be044dc" /><Relationship Type="http://schemas.openxmlformats.org/officeDocument/2006/relationships/hyperlink" Target="https://meteor.aihw.gov.au/content/767468" TargetMode="External" Id="R90dec9609d8148f5" /><Relationship Type="http://schemas.openxmlformats.org/officeDocument/2006/relationships/hyperlink" Target="https://meteor.aihw.gov.au/RegistrationAuthority/5" TargetMode="External" Id="R465620a039704a35" /></Relationships>
</file>

<file path=word/_rels/header1.xml.rels>&#65279;<?xml version="1.0" encoding="utf-8"?><Relationships xmlns="http://schemas.openxmlformats.org/package/2006/relationships"><Relationship Type="http://schemas.openxmlformats.org/officeDocument/2006/relationships/image" Target="/media/image.png" Id="Rd004401e4827418a" /></Relationships>
</file>