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ae0c5a451647c8"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2019–20: National Mental Health Establishments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2019–20: National Mental Health Establishments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288c5d88d42be">
              <w:r>
                <w:rPr>
                  <w:rStyle w:val="Hyperlink"/>
                  <w:color w:val="244061"/>
                </w:rPr>
                <w:t xml:space="preserve">AIHW Data Quality Statements</w:t>
              </w:r>
            </w:hyperlink>
            <w:r>
              <w:rPr>
                <w:rStyle w:val="row-content"/>
                <w:color w:val="244061"/>
              </w:rPr>
              <w:t xml:space="preserve">, Superseded 28/03/2023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2b9653fc476645c1">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2019–20.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a276d382cb348da">
              <w:r>
                <w:rPr>
                  <w:rStyle w:val="Hyperlink"/>
                </w:rPr>
                <w:t xml:space="preserve">Australian Institute of Health and Welfare Act 1987</w:t>
              </w:r>
            </w:hyperlink>
            <w:r>
              <w:rPr>
                <w:rStyle w:val="row-content-rich-text"/>
              </w:rPr>
              <w:t xml:space="preserve"> (AIHW Act), governed by a </w:t>
            </w:r>
            <w:hyperlink w:history="true" r:id="R93de215bc48e499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a6df4a5c11146ea">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f2f4de1160c4e7b">
              <w:r>
                <w:rPr>
                  <w:rStyle w:val="Hyperlink"/>
                </w:rPr>
                <w:t xml:space="preserve">www.aihw.gov.au/about-us</w:t>
              </w:r>
            </w:hyperlink>
            <w:r>
              <w:rPr>
                <w:rStyle w:val="row-content-rich-text"/>
              </w:rPr>
              <w:t xml:space="preserve">, which includes details about the AIHW’s governance (</w:t>
            </w:r>
            <w:hyperlink w:history="true" r:id="R9f9c0a8544d4438b">
              <w:r>
                <w:rPr>
                  <w:rStyle w:val="Hyperlink"/>
                </w:rPr>
                <w:t xml:space="preserve">www.aihw.gov.au/about-us/our-governance</w:t>
              </w:r>
            </w:hyperlink>
            <w:r>
              <w:rPr>
                <w:rStyle w:val="row-content-rich-text"/>
              </w:rPr>
              <w:t xml:space="preserve">) and vision and strategic goals (</w:t>
            </w:r>
            <w:hyperlink w:history="true" r:id="R6eb4fdd31a06437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5d117f9fba4f4787">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63f75d7c549945ee">
              <w:r>
                <w:rPr>
                  <w:rStyle w:val="Hyperlink"/>
                </w:rPr>
                <w:t xml:space="preserve">699975</w:t>
              </w:r>
            </w:hyperlink>
            <w:r>
              <w:rPr>
                <w:rStyle w:val="row-content-rich-text"/>
              </w:rPr>
              <w:t xml:space="preserve">), Residential Mental Health Care NMDS (METeOR ID </w:t>
            </w:r>
            <w:hyperlink w:history="true" r:id="Rc57f38ae574849de">
              <w:r>
                <w:rPr>
                  <w:rStyle w:val="Hyperlink"/>
                </w:rPr>
                <w:t xml:space="preserve">707512</w:t>
              </w:r>
            </w:hyperlink>
            <w:r>
              <w:rPr>
                <w:rStyle w:val="row-content-rich-text"/>
              </w:rPr>
              <w:t xml:space="preserve">), Admitted Patient Care NMDS (METeOR ID </w:t>
            </w:r>
            <w:hyperlink w:history="true" r:id="R87851c096e7a4539">
              <w:r>
                <w:rPr>
                  <w:rStyle w:val="Hyperlink"/>
                </w:rPr>
                <w:t xml:space="preserve">699728</w:t>
              </w:r>
            </w:hyperlink>
            <w:r>
              <w:rPr>
                <w:rStyle w:val="row-content-rich-text"/>
              </w:rPr>
              <w:t xml:space="preserve">) and Mental Health National Outcomes and Casemix Collection (see </w:t>
            </w:r>
            <w:hyperlink w:history="true" r:id="R28055d9daea448e1">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2019–20, that is, services that were operational between 1 July 2019 and 30 June 2020, or part thereof. Data for the 2019–20 reference period were first supplied to the AIHW in April (Tas, Qld, NT, WA), May (Vic, NSW, SA), and July (ACT) 2021.</w:t>
            </w:r>
          </w:p>
          <w:p>
            <w:pPr/>
            <w:r>
              <w:rPr>
                <w:rStyle w:val="row-content-rich-text"/>
              </w:rPr>
              <w:t xml:space="preserve">The AIHW publishes data from the NMHED in its online product </w:t>
            </w:r>
            <w:hyperlink w:history="true" r:id="Rd525281ff8c7446d">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999c435ade274694">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87606110eec64bc8">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2018–19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2019–20.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a0d84d36e45f4df0">
              <w:r>
                <w:rPr>
                  <w:rStyle w:val="Hyperlink"/>
                </w:rPr>
                <w:t xml:space="preserve">target population</w:t>
              </w:r>
            </w:hyperlink>
            <w:r>
              <w:rPr>
                <w:rStyle w:val="row-content-rich-text"/>
              </w:rPr>
              <w:t xml:space="preserve"> and </w:t>
            </w:r>
            <w:hyperlink w:history="true" r:id="Rd204e009c4714c0f">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0d7c42eab1244cc0">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Housing and Accommodation Support Initiative (HASI) services provided in NSW are reported as Specialised mental health service—supported mental health housing places. In 2016, Community Living Supports (CLS) commenced to support more people with severe mental illness to access the same type of support provided in HASI. Both HASI and CLS are out of scope as Residential mental health care services.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December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In 2018–19, 70% of the expenditure reported by Prevention and Recovery Care (PARC) units were deemed to be Non-Government Organisation expenditure, contrasting with data presented in the Facilities section, where beds, mental health care days, etc. were shown as government operated services.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2018–19 and 2019–20. Comparisons between staffing and expenditure should be made with caution.</w:t>
            </w:r>
          </w:p>
          <w:p>
            <w:pPr>
              <w:spacing w:after="160"/>
            </w:pPr>
            <w:r>
              <w:rPr>
                <w:rStyle w:val="row-content-rich-text"/>
                <w:i/>
              </w:rPr>
              <w:t xml:space="preserve">South Australia</w:t>
            </w:r>
          </w:p>
          <w:p>
            <w:pPr>
              <w:spacing w:after="160"/>
            </w:pPr>
            <w:r>
              <w:rPr>
                <w:rStyle w:val="row-content-rich-text"/>
              </w:rPr>
              <w:t xml:space="preserve">In 2019–20, South Australia advised that the decrease in non-24 hour, non-government organisation operated residential mental health care beds are related to the transition to these beds to funding under the National Disability Insurance Scheme (NDIS), which are considered out-of-scope for reporting to the Mental Health Establishments NMDS.</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spacing w:after="160"/>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p>
            <w:pPr/>
            <w:r>
              <w:rPr>
                <w:rStyle w:val="row-content-rich-text"/>
              </w:rPr>
              <w:t xml:space="preserve">In 2019–20, the NT advised that the decrease in residential expenditure is due to the gradual transition of clients to NDIS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20c3038c0d4778">
              <w:r>
                <w:rPr>
                  <w:rStyle w:val="Hyperlink"/>
                </w:rPr>
                <w:t xml:space="preserve">Mental Health Establishments NMDS 2018–19: National Mental Health Establishments Database, 2021; Quality Statement</w:t>
              </w:r>
            </w:hyperlink>
          </w:p>
          <w:p>
            <w:pPr>
              <w:spacing w:before="0" w:after="0"/>
            </w:pPr>
            <w:r>
              <w:rPr>
                <w:rStyle w:val="row-content"/>
                <w:color w:val="244061"/>
              </w:rPr>
              <w:t xml:space="preserve">       </w:t>
            </w:r>
            <w:hyperlink w:history="true" r:id="R7e1c6e55d9b04f97">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Has been superseded by </w:t>
            </w:r>
            <w:hyperlink w:history="true" r:id="R0db6152178ab4216">
              <w:r>
                <w:rPr>
                  <w:rStyle w:val="Hyperlink"/>
                </w:rPr>
                <w:t xml:space="preserve">Mental Health Establishments NMDS 2020–21: National Mental Health Establishments Database, 2023; Quality Statement</w:t>
              </w:r>
            </w:hyperlink>
          </w:p>
          <w:p>
            <w:pPr>
              <w:spacing w:before="0" w:after="0"/>
            </w:pPr>
            <w:r>
              <w:rPr>
                <w:rStyle w:val="row-content"/>
                <w:color w:val="244061"/>
              </w:rPr>
              <w:t xml:space="preserve">       </w:t>
            </w:r>
            <w:hyperlink w:history="true" r:id="R973e959c46a44987">
              <w:r>
                <w:rPr>
                  <w:rStyle w:val="Hyperlink"/>
                  <w:color w:val="244061"/>
                </w:rPr>
                <w:t xml:space="preserve">AIHW Data Quality Statements</w:t>
              </w:r>
            </w:hyperlink>
            <w:r>
              <w:rPr>
                <w:rStyle w:val="row-content"/>
                <w:color w:val="244061"/>
              </w:rPr>
              <w:t xml:space="preserve">, Superseded 14/02/2024</w:t>
            </w:r>
          </w:p>
          <w:p>
            <w:r>
              <w:br/>
            </w:r>
            <w:r>
              <w:rPr>
                <w:rStyle w:val="row-content"/>
              </w:rPr>
              <w:t xml:space="preserve">See also </w:t>
            </w:r>
            <w:hyperlink w:history="true" r:id="Ra75a484a88ae4b39">
              <w:r>
                <w:rPr>
                  <w:rStyle w:val="Hyperlink"/>
                </w:rPr>
                <w:t xml:space="preserve">Mental health establishments NMDS 2019–20</w:t>
              </w:r>
            </w:hyperlink>
          </w:p>
          <w:p>
            <w:pPr>
              <w:spacing w:before="0" w:after="0"/>
            </w:pPr>
            <w:r>
              <w:rPr>
                <w:rStyle w:val="row-content"/>
                <w:color w:val="244061"/>
              </w:rPr>
              <w:t xml:space="preserve">       </w:t>
            </w:r>
            <w:hyperlink w:history="true" r:id="R1f3096e8ac694d29">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29cd18089d21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118d546d7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d18089d21490c" /><Relationship Type="http://schemas.openxmlformats.org/officeDocument/2006/relationships/header" Target="/word/header1.xml" Id="R8b3aca948a004161" /><Relationship Type="http://schemas.openxmlformats.org/officeDocument/2006/relationships/settings" Target="/word/settings.xml" Id="R5fd5e3570d4b43a5" /><Relationship Type="http://schemas.openxmlformats.org/officeDocument/2006/relationships/styles" Target="/word/styles.xml" Id="Rb36c5f27fa214c16" /><Relationship Type="http://schemas.openxmlformats.org/officeDocument/2006/relationships/hyperlink" Target="https://meteor.aihw.gov.au/RegistrationAuthority/5" TargetMode="External" Id="R98b288c5d88d42be" /><Relationship Type="http://schemas.openxmlformats.org/officeDocument/2006/relationships/numbering" Target="/word/numbering.xml" Id="Ra2d9162017d54b07" /><Relationship Type="http://schemas.openxmlformats.org/officeDocument/2006/relationships/hyperlink" Target="https://meteor.aihw.gov.au/content/707557" TargetMode="External" Id="R2b9653fc476645c1" /><Relationship Type="http://schemas.openxmlformats.org/officeDocument/2006/relationships/hyperlink" Target="https://www.legislation.gov.au/Details/C2018C00474" TargetMode="External" Id="R9a276d382cb348da" /><Relationship Type="http://schemas.openxmlformats.org/officeDocument/2006/relationships/hyperlink" Target="https://www.aihw.gov.au/about-us/our-governance" TargetMode="External" Id="R93de215bc48e499a" /><Relationship Type="http://schemas.openxmlformats.org/officeDocument/2006/relationships/hyperlink" Target="https://www.legislation.gov.au/series/C2004A03712" TargetMode="External" Id="Rca6df4a5c11146ea" /><Relationship Type="http://schemas.openxmlformats.org/officeDocument/2006/relationships/hyperlink" Target="http://www.aihw.gov.au/about-us" TargetMode="External" Id="R5f2f4de1160c4e7b" /><Relationship Type="http://schemas.openxmlformats.org/officeDocument/2006/relationships/hyperlink" Target="http://www.aihw.gov.au/about-us/our-governance" TargetMode="External" Id="R9f9c0a8544d4438b" /><Relationship Type="http://schemas.openxmlformats.org/officeDocument/2006/relationships/hyperlink" Target="http://www.aihw.gov.au/about-us/our-vision-and-strategic-goals" TargetMode="External" Id="R6eb4fdd31a064374" /><Relationship Type="http://schemas.openxmlformats.org/officeDocument/2006/relationships/hyperlink" Target="https://meteor.aihw.gov.au/content/182135" TargetMode="External" Id="R5d117f9fba4f4787" /><Relationship Type="http://schemas.openxmlformats.org/officeDocument/2006/relationships/hyperlink" Target="https://meteor.aihw.gov.au/content/699975" TargetMode="External" Id="R63f75d7c549945ee" /><Relationship Type="http://schemas.openxmlformats.org/officeDocument/2006/relationships/hyperlink" Target="https://meteor.aihw.gov.au/content/707512" TargetMode="External" Id="Rc57f38ae574849de" /><Relationship Type="http://schemas.openxmlformats.org/officeDocument/2006/relationships/hyperlink" Target="https://meteor.aihw.gov.au/content/699728" TargetMode="External" Id="R87851c096e7a4539" /><Relationship Type="http://schemas.openxmlformats.org/officeDocument/2006/relationships/hyperlink" Target="https://www.amhocn.org/background/nocc-what-it" TargetMode="External" Id="R28055d9daea448e1" /><Relationship Type="http://schemas.openxmlformats.org/officeDocument/2006/relationships/hyperlink" Target="https://www.aihw.gov.au/mhsa" TargetMode="External" Id="Rd525281ff8c7446d" /><Relationship Type="http://schemas.openxmlformats.org/officeDocument/2006/relationships/hyperlink" Target="https://www.aihw.gov.au/mhsa" TargetMode="External" Id="R999c435ade274694" /><Relationship Type="http://schemas.openxmlformats.org/officeDocument/2006/relationships/hyperlink" Target="https://meteor.aihw.gov.au/" TargetMode="External" Id="R87606110eec64bc8" /><Relationship Type="http://schemas.openxmlformats.org/officeDocument/2006/relationships/hyperlink" Target="https://meteor.aihw.gov.au/content/682403" TargetMode="External" Id="Ra0d84d36e45f4df0" /><Relationship Type="http://schemas.openxmlformats.org/officeDocument/2006/relationships/hyperlink" Target="https://meteor.aihw.gov.au/content/288889" TargetMode="External" Id="Rd204e009c4714c0f" /><Relationship Type="http://schemas.openxmlformats.org/officeDocument/2006/relationships/hyperlink" Target="https://meteor.aihw.gov.au/content/493347" TargetMode="External" Id="R0d7c42eab1244cc0" /><Relationship Type="http://schemas.openxmlformats.org/officeDocument/2006/relationships/hyperlink" Target="https://meteor.aihw.gov.au/content/736794" TargetMode="External" Id="R8b20c3038c0d4778" /><Relationship Type="http://schemas.openxmlformats.org/officeDocument/2006/relationships/hyperlink" Target="https://meteor.aihw.gov.au/RegistrationAuthority/5" TargetMode="External" Id="R7e1c6e55d9b04f97" /><Relationship Type="http://schemas.openxmlformats.org/officeDocument/2006/relationships/hyperlink" Target="https://meteor.aihw.gov.au/content/764465" TargetMode="External" Id="R0db6152178ab4216" /><Relationship Type="http://schemas.openxmlformats.org/officeDocument/2006/relationships/hyperlink" Target="https://meteor.aihw.gov.au/RegistrationAuthority/5" TargetMode="External" Id="R973e959c46a44987" /><Relationship Type="http://schemas.openxmlformats.org/officeDocument/2006/relationships/hyperlink" Target="https://meteor.aihw.gov.au/content/707557" TargetMode="External" Id="Ra75a484a88ae4b39" /><Relationship Type="http://schemas.openxmlformats.org/officeDocument/2006/relationships/hyperlink" Target="https://meteor.aihw.gov.au/RegistrationAuthority/12" TargetMode="External" Id="R1f3096e8ac694d29" /></Relationships>
</file>

<file path=word/_rels/header1.xml.rels>&#65279;<?xml version="1.0" encoding="utf-8"?><Relationships xmlns="http://schemas.openxmlformats.org/package/2006/relationships"><Relationship Type="http://schemas.openxmlformats.org/officeDocument/2006/relationships/image" Target="/media/image.png" Id="R005118d546d74b2e" /></Relationships>
</file>