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e43a9550614c74"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278a1505448b7">
              <w:r>
                <w:rPr>
                  <w:rStyle w:val="Hyperlink"/>
                  <w:color w:val="244061"/>
                </w:rPr>
                <w:t xml:space="preserve">AIHW Data Quality Statements</w:t>
              </w:r>
            </w:hyperlink>
            <w:r>
              <w:rPr>
                <w:rStyle w:val="row-content"/>
                <w:color w:val="244061"/>
              </w:rPr>
              <w:t xml:space="preserve">, Superseded 19/04/2023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2021. Financial information is for the year ending 30 June 2021.</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40781a363424c1c">
              <w:r>
                <w:rPr>
                  <w:rStyle w:val="Hyperlink"/>
                  <w:i/>
                </w:rPr>
                <w:t xml:space="preserve">Australian Institute of Health and Welfare Act 1987</w:t>
              </w:r>
            </w:hyperlink>
            <w:r>
              <w:rPr>
                <w:rStyle w:val="row-content-rich-text"/>
              </w:rPr>
              <w:t xml:space="preserve"> (AIHW Act), governed by a </w:t>
            </w:r>
            <w:hyperlink w:history="true" r:id="R7fa207a4f0d0445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12483f8ec8448d7">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fe6b26727b24d88">
              <w:r>
                <w:rPr>
                  <w:rStyle w:val="Hyperlink"/>
                </w:rPr>
                <w:t xml:space="preserve">https://www.aihw.gov.au/about-us</w:t>
              </w:r>
            </w:hyperlink>
            <w:r>
              <w:rPr>
                <w:rStyle w:val="row-content-rich-text"/>
              </w:rPr>
              <w:t xml:space="preserve">, which includes details about the AIHW's governance (</w:t>
            </w:r>
            <w:hyperlink w:history="true" r:id="R39ac2bafb0794d24">
              <w:r>
                <w:rPr>
                  <w:rStyle w:val="Hyperlink"/>
                </w:rPr>
                <w:t xml:space="preserve">https://www.aihw.gov.au/about-us/our-governance</w:t>
              </w:r>
            </w:hyperlink>
            <w:r>
              <w:rPr>
                <w:rStyle w:val="row-content-rich-text"/>
              </w:rPr>
              <w:t xml:space="preserve">) and vision and strategic goals (</w:t>
            </w:r>
            <w:hyperlink w:history="true" r:id="Rc539896aaf334868">
              <w:r>
                <w:rPr>
                  <w:rStyle w:val="Hyperlink"/>
                </w:rPr>
                <w:t xml:space="preserve">https://www.aihw.gov.au/about-us/our-vision-and-strategic-goals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2020–21 financial year and is mostly a 30 June 2021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8eb40ff8f9bb4053">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bf5d8f56aa334453">
              <w:r>
                <w:rPr>
                  <w:rStyle w:val="Hyperlink"/>
                </w:rPr>
                <w:t xml:space="preserve">https://www.aihw.gov.au/our-services/data-on-request</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made to </w:t>
            </w:r>
            <w:hyperlink w:history="true" r:id="R16ccca869fd74c3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6481d99fe3b40bf">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 – 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expenses incurred on the dwellings they own are under-reported by ICHOs. Furthermore, ICHOs manage a large number of state-owned dwellings on which depreciation is incurred by the responsible government agency, rather than the managing ICHO. These depreciation expenses are included in ‘total recurrent costs’ despite not being incurred directly by the relevant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pStyle w:val="ListParagraph"/>
              <w:numPr>
                <w:ilvl w:val="0"/>
                <w:numId w:val="4"/>
              </w:numPr>
            </w:pPr>
            <w:r>
              <w:rPr>
                <w:rStyle w:val="row-content-rich-text"/>
              </w:rPr>
              <w:t xml:space="preserve">Financial data from 21 ICHOs, representing 15% of dwellings managed by funded organisations are not included, Therefore, rents collected/charged and total/net recurrent costs for the year ending 30 June 2021 are an under-representation.</w:t>
            </w:r>
          </w:p>
          <w:p>
            <w:pPr>
              <w:spacing w:after="160"/>
            </w:pPr>
            <w:r>
              <w:rPr>
                <w:rStyle w:val="row-content-rich-text"/>
                <w:b/>
              </w:rPr>
              <w:t xml:space="preserve">Queensland</w:t>
            </w:r>
          </w:p>
          <w:p>
            <w:pPr>
              <w:pStyle w:val="ListParagraph"/>
              <w:numPr>
                <w:ilvl w:val="0"/>
                <w:numId w:val="5"/>
              </w:numPr>
            </w:pPr>
            <w:r>
              <w:rPr>
                <w:rStyle w:val="row-content-rich-text"/>
              </w:rPr>
              <w:t xml:space="preserve">Expenditure and rent data are available predominantly for dwellings and tenancies funded and managed by the Queensland housing authority. Relatively little expenditure and rent data are available for properties managed by ICHOs.</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From 2018–19, Western Australia has been unable to distinguish between net and recurrent costs.</w:t>
            </w:r>
          </w:p>
          <w:p>
            <w:pPr>
              <w:spacing w:after="160"/>
            </w:pPr>
            <w:r>
              <w:rPr>
                <w:rStyle w:val="row-content-rich-text"/>
                <w:b/>
              </w:rPr>
              <w:t xml:space="preserve">South Australia</w:t>
            </w:r>
          </w:p>
          <w:p>
            <w:pPr>
              <w:pStyle w:val="ListParagraph"/>
              <w:numPr>
                <w:ilvl w:val="0"/>
                <w:numId w:val="7"/>
              </w:numPr>
            </w:pPr>
            <w:r>
              <w:rPr>
                <w:rStyle w:val="row-content-rich-text"/>
              </w:rPr>
              <w:t xml:space="preserve">As per 2019–20, a tenancy audit was not undertaken in 2020–21.</w:t>
            </w:r>
          </w:p>
          <w:p>
            <w:pPr>
              <w:spacing w:after="160"/>
            </w:pPr>
            <w:r>
              <w:rPr>
                <w:rStyle w:val="row-content-rich-text"/>
                <w:b/>
              </w:rPr>
              <w:t xml:space="preserve">Tasmania</w:t>
            </w:r>
          </w:p>
          <w:p>
            <w:pPr>
              <w:pStyle w:val="ListParagraph"/>
              <w:numPr>
                <w:ilvl w:val="0"/>
                <w:numId w:val="8"/>
              </w:numPr>
            </w:pPr>
            <w:r>
              <w:rPr>
                <w:rStyle w:val="row-content-rich-text"/>
              </w:rPr>
              <w:t xml:space="preserve">Some information on households, including the number of additional bedrooms required, is not reported by ICHOs. Therefore, this information is not available for national reporting.</w:t>
            </w:r>
          </w:p>
          <w:p>
            <w:pPr>
              <w:pStyle w:val="ListParagraph"/>
              <w:numPr>
                <w:ilvl w:val="0"/>
                <w:numId w:val="8"/>
              </w:numPr>
            </w:pPr>
            <w:r>
              <w:rPr>
                <w:rStyle w:val="row-content-rich-text"/>
              </w:rPr>
              <w:t xml:space="preserve">From 2018–19,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9"/>
              </w:numPr>
            </w:pPr>
            <w:r>
              <w:rPr>
                <w:rStyle w:val="row-content-rich-text"/>
              </w:rPr>
              <w:t xml:space="preserve">Information is supplied only about dwellings that are occupied. The Northern Territory only contributes funds to permanently occupied dwellings in remote homelands and town camps that are not leased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and the completeness of reporting – in regard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0"/>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10"/>
              </w:numPr>
            </w:pPr>
            <w:r>
              <w:rPr>
                <w:rStyle w:val="row-content-rich-text"/>
              </w:rPr>
              <w:t xml:space="preserve">Improved coverage from 2013–14 resulted in increased rental data compared with previous years.</w:t>
            </w:r>
          </w:p>
          <w:p>
            <w:pPr>
              <w:pStyle w:val="ListParagraph"/>
              <w:numPr>
                <w:ilvl w:val="0"/>
                <w:numId w:val="10"/>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10"/>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10"/>
              </w:numPr>
            </w:pPr>
            <w:r>
              <w:rPr>
                <w:rStyle w:val="row-content-rich-text"/>
              </w:rPr>
              <w:t xml:space="preserve">In 2016–17, New South Wales, for the first time, included 207 ICH dwellings that are managed by mainstream community housing providers. These properties were not previously reported under any other social housing program. Thus, caution is advised when comparing data from 2016–17 onwards with that of previous years.</w:t>
            </w:r>
          </w:p>
          <w:p>
            <w:pPr>
              <w:pStyle w:val="ListParagraph"/>
              <w:numPr>
                <w:ilvl w:val="0"/>
                <w:numId w:val="10"/>
              </w:numPr>
            </w:pPr>
            <w:r>
              <w:rPr>
                <w:rStyle w:val="row-content-rich-text"/>
              </w:rPr>
              <w:t xml:space="preserve">Unit record information at the household level was reported from 2018–19.</w:t>
            </w:r>
          </w:p>
          <w:p>
            <w:pPr>
              <w:spacing w:after="160"/>
            </w:pPr>
            <w:r>
              <w:rPr>
                <w:rStyle w:val="row-content-rich-text"/>
                <w:b/>
              </w:rPr>
              <w:t xml:space="preserve">Victoria</w:t>
            </w:r>
          </w:p>
          <w:p>
            <w:pPr>
              <w:pStyle w:val="ListParagraph"/>
              <w:numPr>
                <w:ilvl w:val="0"/>
                <w:numId w:val="11"/>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2"/>
              </w:numPr>
            </w:pPr>
            <w:r>
              <w:rPr>
                <w:rStyle w:val="row-content-rich-text"/>
              </w:rPr>
              <w:t xml:space="preserve">Queensland provided data collected from ICHOs for the first time in 2015–16. Prior to 2015–16, data were sourced only from Queensland’s administrative systems.</w:t>
            </w:r>
          </w:p>
          <w:p>
            <w:pPr>
              <w:pStyle w:val="ListParagraph"/>
              <w:numPr>
                <w:ilvl w:val="0"/>
                <w:numId w:val="12"/>
              </w:numPr>
            </w:pPr>
            <w:r>
              <w:rPr>
                <w:rStyle w:val="row-content-rich-text"/>
              </w:rPr>
              <w:t xml:space="preserve">From 2017–18, apportioned indirect costs were included in total and net recurrent costs. Indirect costs have not been included in previous years.</w:t>
            </w:r>
          </w:p>
          <w:p>
            <w:pPr>
              <w:pStyle w:val="ListParagraph"/>
              <w:numPr>
                <w:ilvl w:val="0"/>
                <w:numId w:val="12"/>
              </w:numPr>
            </w:pPr>
            <w:r>
              <w:rPr>
                <w:rStyle w:val="row-content-rich-text"/>
              </w:rPr>
              <w:t xml:space="preserve">In 2018–19, there was an increase in reporting of households from a small number of ICHOs. This reflects an increase in coverage and therefore an increase in quality, but it is still unclear how complete household data are.</w:t>
            </w:r>
          </w:p>
          <w:p>
            <w:pPr>
              <w:pStyle w:val="ListParagraph"/>
              <w:numPr>
                <w:ilvl w:val="0"/>
                <w:numId w:val="12"/>
              </w:numPr>
            </w:pPr>
            <w:r>
              <w:rPr>
                <w:rStyle w:val="row-content-rich-text"/>
              </w:rPr>
              <w:t xml:space="preserve">In 2019–20 and 2020–21, there was a decrease in reporting from ICHOs and subsequently a decrease in coverage.</w:t>
            </w:r>
          </w:p>
          <w:p>
            <w:pPr>
              <w:pStyle w:val="ListParagraph"/>
              <w:numPr>
                <w:ilvl w:val="0"/>
                <w:numId w:val="12"/>
              </w:numPr>
            </w:pPr>
            <w:r>
              <w:rPr>
                <w:rStyle w:val="row-content-rich-text"/>
              </w:rPr>
              <w:t xml:space="preserve">Due to tenancy data quality issues, historically, partial information is known when calculating overcrowding. Thus, care is advised when using and comparing overcrowding results.</w:t>
            </w:r>
          </w:p>
          <w:p>
            <w:pPr>
              <w:pStyle w:val="ListParagraph"/>
              <w:numPr>
                <w:ilvl w:val="0"/>
                <w:numId w:val="12"/>
              </w:numPr>
            </w:pPr>
            <w:r>
              <w:rPr>
                <w:rStyle w:val="row-content-rich-text"/>
              </w:rPr>
              <w:t xml:space="preserve">Changes in methodology over time affect coherence of these data.</w:t>
            </w:r>
          </w:p>
          <w:p>
            <w:pPr>
              <w:spacing w:after="160"/>
            </w:pPr>
            <w:r>
              <w:rPr>
                <w:rStyle w:val="row-content-rich-text"/>
                <w:b/>
              </w:rPr>
              <w:t xml:space="preserve">Western Australia </w:t>
            </w:r>
          </w:p>
          <w:p>
            <w:pPr>
              <w:pStyle w:val="ListParagraph"/>
              <w:numPr>
                <w:ilvl w:val="0"/>
                <w:numId w:val="13"/>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w:t>
            </w:r>
          </w:p>
          <w:p>
            <w:pPr>
              <w:pStyle w:val="ListParagraph"/>
              <w:numPr>
                <w:ilvl w:val="0"/>
                <w:numId w:val="14"/>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4"/>
              </w:numPr>
            </w:pPr>
            <w:r>
              <w:rPr>
                <w:rStyle w:val="row-content-rich-text"/>
              </w:rPr>
              <w:t xml:space="preserve">Approximately 24 dwellings previously reported were excluded from the collection in 2018–19. They are out of scope and incorrectly included in previous years.</w:t>
            </w:r>
          </w:p>
          <w:p>
            <w:pPr>
              <w:pStyle w:val="ListParagraph"/>
              <w:numPr>
                <w:ilvl w:val="0"/>
                <w:numId w:val="14"/>
              </w:numPr>
            </w:pPr>
            <w:r>
              <w:rPr>
                <w:rStyle w:val="row-content-rich-text"/>
              </w:rPr>
              <w:t xml:space="preserve">Data quality may be affected by the following factors:</w:t>
            </w:r>
            <w:r>
              <w:br/>
            </w:r>
            <w:r>
              <w:rPr>
                <w:rStyle w:val="row-content-rich-text"/>
              </w:rPr>
              <w:t xml:space="preserve">        • From March 2020, SA Housing Authority (SAHA) staff were unable to visit remote Aboriginal areas due to COVID-19 restrictions.</w:t>
            </w:r>
            <w:r>
              <w:br/>
            </w:r>
            <w:r>
              <w:rPr>
                <w:rStyle w:val="row-content-rich-text"/>
              </w:rPr>
              <w:t xml:space="preserve">        • In April 2020, dwelling and person data for ICH were migrated into SAHA's new data system to better align with public housing (PH) and state owned and managed Indigenous housing (SOMIH) data.</w:t>
            </w:r>
            <w:r>
              <w:br/>
            </w:r>
            <w:r>
              <w:rPr>
                <w:rStyle w:val="row-content-rich-text"/>
              </w:rPr>
              <w:t xml:space="preserve">        • 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r>
              <w:br/>
            </w:r>
            <w:r>
              <w:rPr>
                <w:rStyle w:val="row-content-rich-text"/>
              </w:rPr>
              <w:t xml:space="preserve">        • From 2014–15, the data relates to annual grant funding provided to ICHOs by the Northern Territory Government for the delivery of housing maintenance services to permanently occupied communally-owned dwellings in remote homelands, and also in town camps that are not leased for public housing.  Only habitable houses are eligible for funding; improvised dwellings do not receive funding. In 2013–14, the count of permanently occupied dwellings included improvised dwellings, thus, caution is advised when comparing data from 2014–15 onwards with that of previous years.</w:t>
            </w:r>
            <w:r>
              <w:br/>
            </w:r>
            <w:r>
              <w:rPr>
                <w:rStyle w:val="row-content-rich-text"/>
              </w:rPr>
              <w:t xml:space="preserve">        • Northern Territory Government funding is not provided to ICHOs for tenancy management services, as residents in these communities are responsible for the management of their own dwellings.</w:t>
            </w:r>
            <w:r>
              <w:br/>
            </w:r>
            <w:r>
              <w:rPr>
                <w:rStyle w:val="row-content-rich-text"/>
              </w:rPr>
              <w:t xml:space="preserve">        • In the Northern Territory, rent is not charged. These dwellings are communally-owned and not under ICHO, government or private ownership, and as such are not covered by tenancy legislation, tenancy agreements or requirements for the residents to pay rent or service levies. ICHOs may ask for a voluntary service delivery contribution (previously reported as rent collected) but have no jurisdiction to charge rent. From 2020–21, the voluntary service delivery contribution is not reported.</w:t>
            </w:r>
          </w:p>
          <w:p>
            <w:pPr>
              <w:spacing w:after="160"/>
            </w:pPr>
            <w:r>
              <w:rPr>
                <w:rStyle w:val="row-content-rich-text"/>
                <w:b/>
              </w:rPr>
              <w:t xml:space="preserve">Tasmania</w:t>
            </w:r>
          </w:p>
          <w:p>
            <w:r>
              <w:br/>
            </w:r>
            <w:r>
              <w:rPr>
                <w:rStyle w:val="row-content-rich-text"/>
              </w:rPr>
              <w:t xml:space="preserve">        • A new arrears policy was implemented in 2012–13. This has contributed to improvements in data quality for rent since 2013–14.</w:t>
            </w:r>
            <w:r>
              <w:br/>
            </w:r>
            <w:r>
              <w:rPr>
                <w:rStyle w:val="row-content-rich-text"/>
              </w:rPr>
              <w:t xml:space="preserve">        • 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r>
              <w:br/>
            </w:r>
            <w:r>
              <w:rPr>
                <w:rStyle w:val="row-content-rich-text"/>
              </w:rPr>
              <w:t xml:space="preserve">        • Due to data quality issues, household data are not comparable from 2014–15 onwards with previous years.</w:t>
            </w:r>
            <w:r>
              <w:br/>
            </w:r>
            <w:r>
              <w:rPr>
                <w:rStyle w:val="row-content-rich-text"/>
              </w:rPr>
              <w:t xml:space="preserve">        • Improved data submissions from ICHOs from 2016–17 onwards resulted in increases in rent collected and charged from tenants, compared with 2015–16.</w:t>
            </w:r>
            <w:r>
              <w:br/>
            </w:r>
            <w:r>
              <w:rPr>
                <w:rStyle w:val="row-content-rich-text"/>
              </w:rPr>
              <w:t xml:space="preserve">        • In 2017–18, one ICHO provided capital expenditure while the other did not. Care is advised when comparing capital expenditure with that of other years.</w:t>
            </w:r>
            <w:r>
              <w:br/>
            </w:r>
            <w:r>
              <w:rPr>
                <w:rStyle w:val="row-content-rich-text"/>
              </w:rPr>
              <w:t xml:space="preserve">        • In years prior to 2018–19, one ICHO included depreciation in the calculation of net expenditure while the other did not.</w:t>
            </w:r>
            <w:r>
              <w:br/>
            </w:r>
            <w:r>
              <w:rPr>
                <w:rStyle w:val="row-content-rich-text"/>
              </w:rPr>
              <w:t xml:space="preserve">        • In 2018–19, one ICHO reported the number of households while the other did not.</w:t>
            </w:r>
          </w:p>
          <w:p>
            <w:pPr/>
            <w:r>
              <w:rPr>
                <w:rStyle w:val="row-content-rich-text"/>
                <w:b/>
              </w:rPr>
              <w:t xml:space="preserve">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6cc1d8ce0847b8">
              <w:r>
                <w:rPr>
                  <w:rStyle w:val="Hyperlink"/>
                </w:rPr>
                <w:t xml:space="preserve">Indigenous Community Housing Collection, 2019–20; Quality Statement</w:t>
              </w:r>
            </w:hyperlink>
          </w:p>
          <w:p>
            <w:pPr>
              <w:spacing w:before="0" w:after="0"/>
            </w:pPr>
            <w:r>
              <w:rPr>
                <w:rStyle w:val="row-content"/>
                <w:color w:val="244061"/>
              </w:rPr>
              <w:t xml:space="preserve">       </w:t>
            </w:r>
            <w:hyperlink w:history="true" r:id="R30a6fe0106b246ac">
              <w:r>
                <w:rPr>
                  <w:rStyle w:val="Hyperlink"/>
                  <w:color w:val="244061"/>
                </w:rPr>
                <w:t xml:space="preserve">AIHW Data Quality Statements</w:t>
              </w:r>
            </w:hyperlink>
            <w:r>
              <w:rPr>
                <w:rStyle w:val="row-content"/>
                <w:color w:val="244061"/>
              </w:rPr>
              <w:t xml:space="preserve">, Superseded 16/06/2022</w:t>
            </w:r>
          </w:p>
          <w:p>
            <w:r>
              <w:br/>
            </w:r>
            <w:r>
              <w:rPr>
                <w:rStyle w:val="row-content"/>
              </w:rPr>
              <w:t xml:space="preserve">Has been superseded by </w:t>
            </w:r>
            <w:hyperlink w:history="true" r:id="Rcf805d75d2b14ffb">
              <w:r>
                <w:rPr>
                  <w:rStyle w:val="Hyperlink"/>
                </w:rPr>
                <w:t xml:space="preserve">Indigenous Community Housing Collection, 2021–22; Quality Statement</w:t>
              </w:r>
            </w:hyperlink>
          </w:p>
          <w:p>
            <w:pPr>
              <w:spacing w:before="0" w:after="0"/>
            </w:pPr>
            <w:r>
              <w:rPr>
                <w:rStyle w:val="row-content"/>
                <w:color w:val="244061"/>
              </w:rPr>
              <w:t xml:space="preserve">       </w:t>
            </w:r>
            <w:hyperlink w:history="true" r:id="R97c26aa9119141d3">
              <w:r>
                <w:rPr>
                  <w:rStyle w:val="Hyperlink"/>
                  <w:color w:val="244061"/>
                </w:rPr>
                <w:t xml:space="preserve">AIHW Data Quality Statements</w:t>
              </w:r>
            </w:hyperlink>
            <w:r>
              <w:rPr>
                <w:rStyle w:val="row-content"/>
                <w:color w:val="244061"/>
              </w:rPr>
              <w:t xml:space="preserve">, Standard 19/04/2023</w:t>
            </w:r>
          </w:p>
          <w:p>
            <w:r>
              <w:br/>
            </w:r>
          </w:p>
        </w:tc>
      </w:tr>
    </w:tbl>
    <w:p>
      <w:r>
        <w:br/>
      </w:r>
    </w:p>
    <w:sectPr>
      <w:footerReference xmlns:r="http://schemas.openxmlformats.org/officeDocument/2006/relationships" w:type="default" r:id="Rb8bd9d1cd93a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750509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daa97f246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d9d1cd93a48b3" /><Relationship Type="http://schemas.openxmlformats.org/officeDocument/2006/relationships/header" Target="/word/header1.xml" Id="R75659a50f2594f57" /><Relationship Type="http://schemas.openxmlformats.org/officeDocument/2006/relationships/settings" Target="/word/settings.xml" Id="R0854321fb6cd4dc6" /><Relationship Type="http://schemas.openxmlformats.org/officeDocument/2006/relationships/styles" Target="/word/styles.xml" Id="R6b5131f587334b3f" /><Relationship Type="http://schemas.openxmlformats.org/officeDocument/2006/relationships/hyperlink" Target="https://meteor.aihw.gov.au/RegistrationAuthority/5" TargetMode="External" Id="Rd8b278a1505448b7" /><Relationship Type="http://schemas.openxmlformats.org/officeDocument/2006/relationships/numbering" Target="/word/numbering.xml" Id="R31fa9dd05bbf4fd4" /><Relationship Type="http://schemas.openxmlformats.org/officeDocument/2006/relationships/hyperlink" Target="https://www.legislation.gov.au/Series/C2004A03450" TargetMode="External" Id="R240781a363424c1c" /><Relationship Type="http://schemas.openxmlformats.org/officeDocument/2006/relationships/hyperlink" Target="https://www.aihw.gov.au/about-us/our-governance" TargetMode="External" Id="R7fa207a4f0d04454" /><Relationship Type="http://schemas.openxmlformats.org/officeDocument/2006/relationships/hyperlink" Target="https://www.legislation.gov.au/Series/C2004A03712" TargetMode="External" Id="Rf12483f8ec8448d7" /><Relationship Type="http://schemas.openxmlformats.org/officeDocument/2006/relationships/hyperlink" Target="https://www.aihw.gov.au/about-us" TargetMode="External" Id="R0fe6b26727b24d88" /><Relationship Type="http://schemas.openxmlformats.org/officeDocument/2006/relationships/hyperlink" Target="https://www.aihw.gov.au/about-us/our-governance" TargetMode="External" Id="R39ac2bafb0794d24" /><Relationship Type="http://schemas.openxmlformats.org/officeDocument/2006/relationships/hyperlink" Target="https://www.aihw.gov.au/about-us/our-vision-and-strategic-goals" TargetMode="External" Id="Rc539896aaf334868" /><Relationship Type="http://schemas.openxmlformats.org/officeDocument/2006/relationships/hyperlink" Target="https://www.aihw.gov.au/reports-data/health-welfare-services/housing-assistance/overview" TargetMode="External" Id="R8eb40ff8f9bb4053" /><Relationship Type="http://schemas.openxmlformats.org/officeDocument/2006/relationships/hyperlink" Target="https://www.aihw.gov.au/our-services/data-on-request" TargetMode="External" Id="Rbf5d8f56aa334453" /><Relationship Type="http://schemas.openxmlformats.org/officeDocument/2006/relationships/hyperlink" Target="mailto:info@aihw.gov.au" TargetMode="External" Id="R16ccca869fd74c32" /><Relationship Type="http://schemas.openxmlformats.org/officeDocument/2006/relationships/hyperlink" Target="https://meteor.aihw.gov.au/content/711226" TargetMode="External" Id="R86481d99fe3b40bf" /><Relationship Type="http://schemas.openxmlformats.org/officeDocument/2006/relationships/hyperlink" Target="https://meteor.aihw.gov.au/content/731023" TargetMode="External" Id="R696cc1d8ce0847b8" /><Relationship Type="http://schemas.openxmlformats.org/officeDocument/2006/relationships/hyperlink" Target="https://meteor.aihw.gov.au/RegistrationAuthority/5" TargetMode="External" Id="R30a6fe0106b246ac" /><Relationship Type="http://schemas.openxmlformats.org/officeDocument/2006/relationships/hyperlink" Target="https://meteor.aihw.gov.au/content/762183" TargetMode="External" Id="Rcf805d75d2b14ffb" /><Relationship Type="http://schemas.openxmlformats.org/officeDocument/2006/relationships/hyperlink" Target="https://meteor.aihw.gov.au/RegistrationAuthority/5" TargetMode="External" Id="R97c26aa9119141d3" /></Relationships>
</file>

<file path=word/_rels/header1.xml.rels>&#65279;<?xml version="1.0" encoding="utf-8"?><Relationships xmlns="http://schemas.openxmlformats.org/package/2006/relationships"><Relationship Type="http://schemas.openxmlformats.org/officeDocument/2006/relationships/image" Target="/media/image.png" Id="R8eedaa97f2464e20" /></Relationships>
</file>