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25ce90bf244da"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7341800274b2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9325fcc7cd564c08">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5338707063b54140">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'Another term'.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39499334d6414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069bce80d42b5">
              <w:r>
                <w:rPr>
                  <w:rStyle w:val="Hyperlink"/>
                </w:rPr>
                <w:t xml:space="preserve">Statistical linkage key 581 cluster</w:t>
              </w:r>
            </w:hyperlink>
          </w:p>
          <w:p>
            <w:pPr>
              <w:spacing w:before="0" w:after="0"/>
            </w:pPr>
            <w:r>
              <w:rPr>
                <w:rStyle w:val="row-content"/>
                <w:color w:val="244061"/>
              </w:rPr>
              <w:t xml:space="preserve">       </w:t>
            </w:r>
            <w:hyperlink w:history="true" r:id="R1d0f76165ce846d3">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9bf6ed6a3cdb444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c00c20e4e0b94cb5">
              <w:r>
                <w:rPr>
                  <w:rStyle w:val="Hyperlink"/>
                </w:rPr>
                <w:t xml:space="preserve">Date—accuracy indicator, code AAA</w:t>
              </w:r>
            </w:hyperlink>
          </w:p>
          <w:p>
            <w:pPr>
              <w:spacing w:before="0" w:after="0"/>
            </w:pPr>
            <w:r>
              <w:rPr>
                <w:rStyle w:val="row-content"/>
                <w:color w:val="244061"/>
              </w:rPr>
              <w:t xml:space="preserve">       </w:t>
            </w:r>
            <w:hyperlink w:history="true" r:id="Rc905eff8ee83462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8c0026ef344494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068729f76d445c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5a1cfecaf704d2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cc49935f1af40b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d57f238024949d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80b12b02c44458">
              <w:r>
                <w:rPr>
                  <w:rStyle w:val="Hyperlink"/>
                </w:rPr>
                <w:t xml:space="preserve">Alcohol and other drug treatment services NMDS 2022–23</w:t>
              </w:r>
            </w:hyperlink>
          </w:p>
          <w:p>
            <w:pPr>
              <w:spacing w:before="0" w:after="0"/>
            </w:pPr>
            <w:r>
              <w:rPr>
                <w:rStyle w:val="row-content"/>
                <w:color w:val="244061"/>
              </w:rPr>
              <w:t xml:space="preserve">       </w:t>
            </w:r>
            <w:hyperlink w:history="true" r:id="Re231fc417f2548f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95ab9036b2c4b1a">
              <w:r>
                <w:rPr>
                  <w:rStyle w:val="Hyperlink"/>
                </w:rPr>
                <w:t xml:space="preserve">Alcohol and other drug treatment services NMDS 2023-24</w:t>
              </w:r>
            </w:hyperlink>
          </w:p>
          <w:p>
            <w:pPr>
              <w:spacing w:before="0" w:after="0"/>
            </w:pPr>
            <w:r>
              <w:rPr>
                <w:rStyle w:val="row-content"/>
                <w:color w:val="244061"/>
              </w:rPr>
              <w:t xml:space="preserve">       </w:t>
            </w:r>
            <w:hyperlink w:history="true" r:id="R87faca65406c42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d0bb99d64b641ab">
              <w:r>
                <w:rPr>
                  <w:rStyle w:val="Hyperlink"/>
                </w:rPr>
                <w:t xml:space="preserve">Alcohol and other drug treatment services NMDS 2024-25</w:t>
              </w:r>
            </w:hyperlink>
          </w:p>
          <w:p>
            <w:pPr>
              <w:spacing w:before="0" w:after="0"/>
            </w:pPr>
            <w:r>
              <w:rPr>
                <w:rStyle w:val="row-content"/>
                <w:color w:val="244061"/>
              </w:rPr>
              <w:t xml:space="preserve">       </w:t>
            </w:r>
            <w:hyperlink w:history="true" r:id="Rd9b8e56f47ac43a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fe9caefae464f3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69ce3cf25d944f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62995452444c6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234b06c21c41b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ea4612e1e5b4af6">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3627727922445a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98ddc86ce4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6ebb24319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8ddc86ce446f8" /><Relationship Type="http://schemas.openxmlformats.org/officeDocument/2006/relationships/header" Target="/word/header1.xml" Id="R54219f8544ec4533" /><Relationship Type="http://schemas.openxmlformats.org/officeDocument/2006/relationships/settings" Target="/word/settings.xml" Id="Raf514a7bfaf14e64" /><Relationship Type="http://schemas.openxmlformats.org/officeDocument/2006/relationships/styles" Target="/word/styles.xml" Id="R2650575f65574178" /><Relationship Type="http://schemas.openxmlformats.org/officeDocument/2006/relationships/hyperlink" Target="https://meteor.aihw.gov.au/RegistrationAuthority/12" TargetMode="External" Id="Re6d7341800274b22" /><Relationship Type="http://schemas.openxmlformats.org/officeDocument/2006/relationships/numbering" Target="/word/numbering.xml" Id="Rdd2cb3dc9158464b" /><Relationship Type="http://schemas.openxmlformats.org/officeDocument/2006/relationships/hyperlink" Target="https://meteor.aihw.gov.au/content/294429" TargetMode="External" Id="R9325fcc7cd564c08" /><Relationship Type="http://schemas.openxmlformats.org/officeDocument/2006/relationships/hyperlink" Target="https://meteor.aihw.gov.au/content/294429" TargetMode="External" Id="R5338707063b54140" /><Relationship Type="http://schemas.openxmlformats.org/officeDocument/2006/relationships/hyperlink" Target="https://meteor.aihw.gov.au/content/246013" TargetMode="External" Id="R4a39499334d64148" /><Relationship Type="http://schemas.openxmlformats.org/officeDocument/2006/relationships/hyperlink" Target="https://meteor.aihw.gov.au/content/686238" TargetMode="External" Id="R69d069bce80d42b5" /><Relationship Type="http://schemas.openxmlformats.org/officeDocument/2006/relationships/hyperlink" Target="https://meteor.aihw.gov.au/RegistrationAuthority/12" TargetMode="External" Id="R1d0f76165ce846d3" /><Relationship Type="http://schemas.openxmlformats.org/officeDocument/2006/relationships/hyperlink" Target="https://meteor.aihw.gov.au/RegistrationAuthority/14" TargetMode="External" Id="R9bf6ed6a3cdb444b" /><Relationship Type="http://schemas.openxmlformats.org/officeDocument/2006/relationships/hyperlink" Target="https://meteor.aihw.gov.au/content/294429" TargetMode="External" Id="Rc00c20e4e0b94cb5" /><Relationship Type="http://schemas.openxmlformats.org/officeDocument/2006/relationships/hyperlink" Target="https://meteor.aihw.gov.au/RegistrationAuthority/1" TargetMode="External" Id="Rc905eff8ee83462c" /><Relationship Type="http://schemas.openxmlformats.org/officeDocument/2006/relationships/hyperlink" Target="https://meteor.aihw.gov.au/RegistrationAuthority/16" TargetMode="External" Id="Rf8c0026ef3444941" /><Relationship Type="http://schemas.openxmlformats.org/officeDocument/2006/relationships/hyperlink" Target="https://meteor.aihw.gov.au/RegistrationAuthority/13" TargetMode="External" Id="R6068729f76d445cf" /><Relationship Type="http://schemas.openxmlformats.org/officeDocument/2006/relationships/hyperlink" Target="https://meteor.aihw.gov.au/RegistrationAuthority/12" TargetMode="External" Id="R15a1cfecaf704d2e" /><Relationship Type="http://schemas.openxmlformats.org/officeDocument/2006/relationships/hyperlink" Target="https://meteor.aihw.gov.au/RegistrationAuthority/14" TargetMode="External" Id="Rbcc49935f1af40b6" /><Relationship Type="http://schemas.openxmlformats.org/officeDocument/2006/relationships/hyperlink" Target="https://meteor.aihw.gov.au/RegistrationAuthority/11" TargetMode="External" Id="R9d57f238024949d1" /><Relationship Type="http://schemas.openxmlformats.org/officeDocument/2006/relationships/hyperlink" Target="https://meteor.aihw.gov.au/content/742035" TargetMode="External" Id="Rc280b12b02c44458" /><Relationship Type="http://schemas.openxmlformats.org/officeDocument/2006/relationships/hyperlink" Target="https://meteor.aihw.gov.au/RegistrationAuthority/12" TargetMode="External" Id="Re231fc417f2548fc" /><Relationship Type="http://schemas.openxmlformats.org/officeDocument/2006/relationships/hyperlink" Target="https://meteor.aihw.gov.au/content/756056" TargetMode="External" Id="R495ab9036b2c4b1a" /><Relationship Type="http://schemas.openxmlformats.org/officeDocument/2006/relationships/hyperlink" Target="https://meteor.aihw.gov.au/RegistrationAuthority/12" TargetMode="External" Id="R87faca65406c42d8" /><Relationship Type="http://schemas.openxmlformats.org/officeDocument/2006/relationships/hyperlink" Target="https://meteor.aihw.gov.au/content/775611" TargetMode="External" Id="Rdd0bb99d64b641ab" /><Relationship Type="http://schemas.openxmlformats.org/officeDocument/2006/relationships/hyperlink" Target="https://meteor.aihw.gov.au/RegistrationAuthority/12" TargetMode="External" Id="Rd9b8e56f47ac43a0" /><Relationship Type="http://schemas.openxmlformats.org/officeDocument/2006/relationships/hyperlink" Target="https://meteor.aihw.gov.au/content/349481" TargetMode="External" Id="R1fe9caefae464f3c" /><Relationship Type="http://schemas.openxmlformats.org/officeDocument/2006/relationships/hyperlink" Target="https://meteor.aihw.gov.au/content/349483" TargetMode="External" Id="R469ce3cf25d944fc" /><Relationship Type="http://schemas.openxmlformats.org/officeDocument/2006/relationships/hyperlink" Target="https://meteor.aihw.gov.au/content/287007" TargetMode="External" Id="R6d62995452444c64" /><Relationship Type="http://schemas.openxmlformats.org/officeDocument/2006/relationships/hyperlink" Target="https://meteor.aihw.gov.au/content/741686" TargetMode="External" Id="Rb6234b06c21c41b4" /><Relationship Type="http://schemas.openxmlformats.org/officeDocument/2006/relationships/hyperlink" Target="https://meteor.aihw.gov.au/content/686241" TargetMode="External" Id="R3ea4612e1e5b4af6" /><Relationship Type="http://schemas.openxmlformats.org/officeDocument/2006/relationships/hyperlink" Target="https://meteor.aihw.gov.au/content/294429" TargetMode="External" Id="Rd3627727922445a7" /></Relationships>
</file>

<file path=word/_rels/header1.xml.rels>&#65279;<?xml version="1.0" encoding="utf-8"?><Relationships xmlns="http://schemas.openxmlformats.org/package/2006/relationships"><Relationship Type="http://schemas.openxmlformats.org/officeDocument/2006/relationships/image" Target="/media/image.png" Id="Recc6ebb243194598" /></Relationships>
</file>