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84ef5b866a4f23"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anaesthesia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5fccdbbeec4139">
              <w:r>
                <w:rPr>
                  <w:rStyle w:val="Hyperlink"/>
                  <w:color w:val="244061"/>
                </w:rPr>
                <w:t xml:space="preserve">Health</w:t>
              </w:r>
            </w:hyperlink>
            <w:r>
              <w:rPr>
                <w:rStyle w:val="row-content"/>
                <w:color w:val="244061"/>
              </w:rPr>
              <w:t xml:space="preserve">, Standard 17/12/2021</w:t>
            </w:r>
          </w:p>
          <w:p>
            <w:pPr>
              <w:spacing w:before="0" w:after="0"/>
            </w:pPr>
            <w:hyperlink w:history="true" r:id="Rd464ed4727b24a5f">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cc77ee9c5dc34553">
              <w:r>
                <w:rPr>
                  <w:rStyle w:val="Hyperlink"/>
                  <w:b/>
                </w:rPr>
                <w:t xml:space="preserve">anaesthesia </w:t>
              </w:r>
            </w:hyperlink>
            <w:r>
              <w:rPr>
                <w:rStyle w:val="row-content-rich-text"/>
              </w:rPr>
              <w:t xml:space="preserve">administered to a female during a birth event with instrumental or operative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518294d35243bf">
              <w:r>
                <w:rPr>
                  <w:rStyle w:val="Hyperlink"/>
                </w:rPr>
                <w:t xml:space="preserve">Birth event—type of anaesthesia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fd8a55cce8420e">
              <w:r>
                <w:rPr>
                  <w:rStyle w:val="Hyperlink"/>
                </w:rPr>
                <w:t xml:space="preserve">Type of birth anaesthesia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Local anaesthetic to perineum</w:t>
            </w:r>
          </w:p>
          <w:p>
            <w:pPr>
              <w:spacing w:after="160"/>
            </w:pPr>
            <w:r>
              <w:rPr>
                <w:rStyle w:val="row-content-rich-text"/>
              </w:rPr>
              <w:t xml:space="preserve">A local anaesthetic to the perineum was administered to the mother for the operative/instrumental birth of the baby. Local anaesthetic to perineum is the infiltration of the perineum with a local anaesthetic.</w:t>
            </w:r>
          </w:p>
          <w:p>
            <w:pPr>
              <w:spacing w:after="160"/>
            </w:pPr>
            <w:r>
              <w:rPr>
                <w:rStyle w:val="row-content-rich-text"/>
              </w:rPr>
              <w:t xml:space="preserve">CODE 3 Pudendal block</w:t>
            </w:r>
          </w:p>
          <w:p>
            <w:pPr>
              <w:spacing w:after="160"/>
            </w:pPr>
            <w:r>
              <w:rPr>
                <w:rStyle w:val="row-content-rich-text"/>
              </w:rPr>
              <w:t xml:space="preserve">A pudendal block was administered to the mother for the operative/instrumental birth of the baby. A pudendal block is an injection of a local anaesthetic to the pudendal nerves.</w:t>
            </w:r>
          </w:p>
          <w:p>
            <w:pPr>
              <w:spacing w:after="160"/>
            </w:pPr>
            <w:r>
              <w:rPr>
                <w:rStyle w:val="row-content-rich-text"/>
              </w:rPr>
              <w:t xml:space="preserve">CODE 4 Epidural or caudal block</w:t>
            </w:r>
          </w:p>
          <w:p>
            <w:pPr>
              <w:spacing w:after="160"/>
            </w:pPr>
            <w:r>
              <w:rPr>
                <w:rStyle w:val="row-content-rich-text"/>
              </w:rPr>
              <w:t xml:space="preserve">An epidural or caudal block was administered to the mother for the operative/instrumental birth of the baby.</w:t>
            </w:r>
          </w:p>
          <w:p>
            <w:pPr>
              <w:spacing w:after="160"/>
            </w:pPr>
            <w:r>
              <w:rPr>
                <w:rStyle w:val="row-content-rich-text"/>
              </w:rPr>
              <w:t xml:space="preserve">An epidural block is an injection of a local anaesthetic into the epidural space of the spinal column.</w:t>
            </w:r>
          </w:p>
          <w:p>
            <w:pPr>
              <w:spacing w:after="160"/>
            </w:pPr>
            <w:r>
              <w:rPr>
                <w:rStyle w:val="row-content-rich-text"/>
              </w:rPr>
              <w:t xml:space="preserve">A caudal block is an injection of a local anaesthetic agent into the caudal portion of the spinal canal through the sacrum.</w:t>
            </w:r>
          </w:p>
          <w:p>
            <w:pPr>
              <w:spacing w:after="160"/>
            </w:pPr>
            <w:r>
              <w:rPr>
                <w:rStyle w:val="row-content-rich-text"/>
              </w:rPr>
              <w:t xml:space="preserve">CODE 5 Spinal block</w:t>
            </w:r>
          </w:p>
          <w:p>
            <w:pPr>
              <w:spacing w:after="160"/>
            </w:pPr>
            <w:r>
              <w:rPr>
                <w:rStyle w:val="row-content-rich-text"/>
              </w:rPr>
              <w:t xml:space="preserve">A spinal block was administered to the mother for the operative/instrumental birth of the baby. A spinal block is an injection of an analgesic drug or anaesthetic drug into the subarachnoid space of the spinal cord. Spinal block is also called Subarachnoid Block Anaesthesia.</w:t>
            </w:r>
          </w:p>
          <w:p>
            <w:pPr>
              <w:spacing w:after="160"/>
            </w:pPr>
            <w:r>
              <w:rPr>
                <w:rStyle w:val="row-content-rich-text"/>
              </w:rPr>
              <w:t xml:space="preserve">CODE 6 General anaesthesia</w:t>
            </w:r>
          </w:p>
          <w:p>
            <w:pPr>
              <w:spacing w:after="160"/>
            </w:pPr>
            <w:r>
              <w:rPr>
                <w:rStyle w:val="row-content-rich-text"/>
              </w:rPr>
              <w:t xml:space="preserve">General anaesthesia was administered to the mother for the operative/instrumental birth of the baby. General anaesthesia includes various anaesthetic agents given primarily by inhalation or intravenous injection.</w:t>
            </w:r>
          </w:p>
          <w:p>
            <w:pPr>
              <w:spacing w:after="160"/>
            </w:pPr>
            <w:r>
              <w:rPr>
                <w:rStyle w:val="row-content-rich-text"/>
              </w:rPr>
              <w:t xml:space="preserve">CODE 7   Combined spinal-epidural block</w:t>
            </w:r>
          </w:p>
          <w:p>
            <w:pPr>
              <w:spacing w:after="160"/>
            </w:pPr>
            <w:r>
              <w:rPr>
                <w:rStyle w:val="row-content-rich-text"/>
              </w:rPr>
              <w:t xml:space="preserve">A combined spinal-epidural block was administered to the mother for the operative/instrumental birth of the baby. A combined spinal-epidural block is a needle-through-needle injection of an analgesic drug or anaesthetic drug into both the epidural space and the subarachnoid space of the spinal column. 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Other anaesthesia (not indicated above) was administered to the mother for the operative/instrumental birth of the baby. This 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has been omitted as it is no longer in use. For information about its meaning in previous data elements, see superseded versions.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Combined spinal-epidural block</w:t>
            </w:r>
          </w:p>
          <w:p>
            <w:pPr/>
            <w:r>
              <w:rPr>
                <w:rStyle w:val="row-content-rich-text"/>
              </w:rPr>
              <w:t xml:space="preserve">Combined spinal-epidural block should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Anaesthetic use may affect the health status of the baby and is an indicator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af0f2fd1fe4410">
              <w:r>
                <w:rPr>
                  <w:rStyle w:val="Hyperlink"/>
                </w:rPr>
                <w:t xml:space="preserve">Birth event—type of anaesthesia administered, code N[N]</w:t>
              </w:r>
            </w:hyperlink>
          </w:p>
          <w:p>
            <w:pPr>
              <w:spacing w:before="0" w:after="0"/>
            </w:pPr>
            <w:r>
              <w:rPr>
                <w:rStyle w:val="row-content"/>
                <w:color w:val="244061"/>
              </w:rPr>
              <w:t xml:space="preserve">       </w:t>
            </w:r>
            <w:hyperlink w:history="true" r:id="Rbe1cc7c9ca7d4ce8">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2019bcff41a64473">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1cea7343e2ef40d1">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d10ba55a9c0348d2">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df8ffbf8309d41e4">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f0029eccffa64101">
              <w:r>
                <w:rPr>
                  <w:rStyle w:val="Hyperlink"/>
                </w:rPr>
                <w:t xml:space="preserve">Birth event—birth method, code N</w:t>
              </w:r>
            </w:hyperlink>
          </w:p>
          <w:p>
            <w:pPr>
              <w:spacing w:before="0" w:after="0"/>
            </w:pPr>
            <w:r>
              <w:rPr>
                <w:rStyle w:val="row-content"/>
                <w:color w:val="244061"/>
              </w:rPr>
              <w:t xml:space="preserve">       </w:t>
            </w:r>
            <w:hyperlink w:history="true" r:id="Rbed3c9ef6d4b4340">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44744bfe44644fbe">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59da5f3d28436a">
              <w:r>
                <w:rPr>
                  <w:rStyle w:val="Hyperlink"/>
                </w:rPr>
                <w:t xml:space="preserve">Mother delivery related data elements (TDLU) cluster</w:t>
              </w:r>
            </w:hyperlink>
          </w:p>
          <w:p>
            <w:pPr>
              <w:spacing w:before="0" w:after="0"/>
            </w:pPr>
            <w:r>
              <w:rPr>
                <w:rStyle w:val="row-content"/>
                <w:color w:val="244061"/>
              </w:rPr>
              <w:t xml:space="preserve">       </w:t>
            </w:r>
            <w:hyperlink w:history="true" r:id="R22ff16cfbbb04814">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febb275f99d043f7">
              <w:r>
                <w:rPr>
                  <w:rStyle w:val="Hyperlink"/>
                </w:rPr>
                <w:t xml:space="preserve">Perinatal NMDS 2022–23</w:t>
              </w:r>
            </w:hyperlink>
          </w:p>
          <w:p>
            <w:pPr>
              <w:spacing w:before="0" w:after="0"/>
            </w:pPr>
            <w:r>
              <w:rPr>
                <w:rStyle w:val="row-content"/>
                <w:color w:val="244061"/>
              </w:rPr>
              <w:t xml:space="preserve">       </w:t>
            </w:r>
            <w:hyperlink w:history="true" r:id="R30073b9a4bc8463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5f4da324e9b04b1d">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169177fcc3a64188">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hyperlink w:history="true" r:id="Rf956d9f802f1423f">
              <w:r>
                <w:rPr>
                  <w:rStyle w:val="Hyperlink"/>
                </w:rPr>
                <w:t xml:space="preserve">Perinatal NMDS 2023–24</w:t>
              </w:r>
            </w:hyperlink>
          </w:p>
          <w:p>
            <w:pPr>
              <w:spacing w:before="0" w:after="0"/>
            </w:pPr>
            <w:r>
              <w:rPr>
                <w:rStyle w:val="row-content"/>
                <w:color w:val="244061"/>
              </w:rPr>
              <w:t xml:space="preserve">       </w:t>
            </w:r>
            <w:hyperlink w:history="true" r:id="R7466d04d4a70486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d7a0357bef1d483a">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1397b5b521ec4108">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hyperlink w:history="true" r:id="Re7f0898c6571419f">
              <w:r>
                <w:rPr>
                  <w:rStyle w:val="Hyperlink"/>
                </w:rPr>
                <w:t xml:space="preserve">Perinatal NMDS 2024–25</w:t>
              </w:r>
            </w:hyperlink>
          </w:p>
          <w:p>
            <w:pPr>
              <w:spacing w:before="0" w:after="0"/>
            </w:pPr>
            <w:r>
              <w:rPr>
                <w:rStyle w:val="row-content"/>
                <w:color w:val="244061"/>
              </w:rPr>
              <w:t xml:space="preserve">       </w:t>
            </w:r>
            <w:hyperlink w:history="true" r:id="Re21d9df5a7524c3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aed6483ba4fe4bb1">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4b2055f611c34e20">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hyperlink w:history="true" r:id="R10a2424f790b4a20">
              <w:r>
                <w:rPr>
                  <w:rStyle w:val="Hyperlink"/>
                </w:rPr>
                <w:t xml:space="preserve">Tasmanian Perinatal Data Set - 2023</w:t>
              </w:r>
            </w:hyperlink>
          </w:p>
          <w:p>
            <w:pPr>
              <w:spacing w:before="0" w:after="0"/>
            </w:pPr>
            <w:r>
              <w:rPr>
                <w:rStyle w:val="row-content"/>
                <w:color w:val="244061"/>
              </w:rPr>
              <w:t xml:space="preserve">       </w:t>
            </w:r>
            <w:hyperlink w:history="true" r:id="Rf5d8f3339580424a">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7d9e000612f43c5">
              <w:r>
                <w:rPr>
                  <w:rStyle w:val="Hyperlink"/>
                </w:rPr>
                <w:t xml:space="preserve">National Core Maternity Indicators: PI 09–General anaesthetic for females giving birth by caesarean section, 2024</w:t>
              </w:r>
            </w:hyperlink>
          </w:p>
          <w:p>
            <w:pPr>
              <w:spacing w:before="0" w:after="0"/>
            </w:pPr>
            <w:r>
              <w:rPr>
                <w:rStyle w:val="row-content"/>
                <w:color w:val="244061"/>
              </w:rPr>
              <w:t xml:space="preserve">       </w:t>
            </w:r>
            <w:hyperlink w:history="true" r:id="Rac81ad9ffb4b4b8c">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4e67503374494a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749932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7e577ad64842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67503374494a37" /><Relationship Type="http://schemas.openxmlformats.org/officeDocument/2006/relationships/header" Target="/word/header1.xml" Id="R460cb5789be445b8" /><Relationship Type="http://schemas.openxmlformats.org/officeDocument/2006/relationships/settings" Target="/word/settings.xml" Id="R955c0a022da84b15" /><Relationship Type="http://schemas.openxmlformats.org/officeDocument/2006/relationships/styles" Target="/word/styles.xml" Id="Ra9011f2dd1f149e7" /><Relationship Type="http://schemas.openxmlformats.org/officeDocument/2006/relationships/hyperlink" Target="https://meteor.aihw.gov.au/RegistrationAuthority/12" TargetMode="External" Id="Re65fccdbbeec4139" /><Relationship Type="http://schemas.openxmlformats.org/officeDocument/2006/relationships/hyperlink" Target="https://meteor.aihw.gov.au/RegistrationAuthority/15" TargetMode="External" Id="Rd464ed4727b24a5f" /><Relationship Type="http://schemas.openxmlformats.org/officeDocument/2006/relationships/hyperlink" Target="https://meteor.aihw.gov.au/content/733095" TargetMode="External" Id="Rcc77ee9c5dc34553" /><Relationship Type="http://schemas.openxmlformats.org/officeDocument/2006/relationships/hyperlink" Target="https://meteor.aihw.gov.au/content/733078" TargetMode="External" Id="Ra2518294d35243bf" /><Relationship Type="http://schemas.openxmlformats.org/officeDocument/2006/relationships/hyperlink" Target="https://meteor.aihw.gov.au/content/749934" TargetMode="External" Id="R93fd8a55cce8420e" /><Relationship Type="http://schemas.openxmlformats.org/officeDocument/2006/relationships/hyperlink" Target="https://meteor.aihw.gov.au/content/732614" TargetMode="External" Id="R1caf0f2fd1fe4410" /><Relationship Type="http://schemas.openxmlformats.org/officeDocument/2006/relationships/hyperlink" Target="https://meteor.aihw.gov.au/RegistrationAuthority/12" TargetMode="External" Id="Rbe1cc7c9ca7d4ce8" /><Relationship Type="http://schemas.openxmlformats.org/officeDocument/2006/relationships/hyperlink" Target="https://meteor.aihw.gov.au/content/762141" TargetMode="External" Id="R2019bcff41a64473" /><Relationship Type="http://schemas.openxmlformats.org/officeDocument/2006/relationships/hyperlink" Target="https://meteor.aihw.gov.au/RegistrationAuthority/12" TargetMode="External" Id="R1cea7343e2ef40d1" /><Relationship Type="http://schemas.openxmlformats.org/officeDocument/2006/relationships/hyperlink" Target="https://meteor.aihw.gov.au/content/732332" TargetMode="External" Id="Rd10ba55a9c0348d2" /><Relationship Type="http://schemas.openxmlformats.org/officeDocument/2006/relationships/hyperlink" Target="https://meteor.aihw.gov.au/RegistrationAuthority/12" TargetMode="External" Id="Rdf8ffbf8309d41e4" /><Relationship Type="http://schemas.openxmlformats.org/officeDocument/2006/relationships/hyperlink" Target="https://meteor.aihw.gov.au/content/762173" TargetMode="External" Id="Rf0029eccffa64101" /><Relationship Type="http://schemas.openxmlformats.org/officeDocument/2006/relationships/hyperlink" Target="https://meteor.aihw.gov.au/RegistrationAuthority/12" TargetMode="External" Id="Rbed3c9ef6d4b4340" /><Relationship Type="http://schemas.openxmlformats.org/officeDocument/2006/relationships/hyperlink" Target="https://meteor.aihw.gov.au/RegistrationAuthority/15" TargetMode="External" Id="R44744bfe44644fbe" /><Relationship Type="http://schemas.openxmlformats.org/officeDocument/2006/relationships/hyperlink" Target="https://meteor.aihw.gov.au/content/786617" TargetMode="External" Id="R1059da5f3d28436a" /><Relationship Type="http://schemas.openxmlformats.org/officeDocument/2006/relationships/hyperlink" Target="https://meteor.aihw.gov.au/RegistrationAuthority/15" TargetMode="External" Id="R22ff16cfbbb04814" /><Relationship Type="http://schemas.openxmlformats.org/officeDocument/2006/relationships/hyperlink" Target="https://meteor.aihw.gov.au/content/742052" TargetMode="External" Id="Rfebb275f99d043f7" /><Relationship Type="http://schemas.openxmlformats.org/officeDocument/2006/relationships/hyperlink" Target="https://meteor.aihw.gov.au/RegistrationAuthority/12" TargetMode="External" Id="R30073b9a4bc8463f" /><Relationship Type="http://schemas.openxmlformats.org/officeDocument/2006/relationships/hyperlink" Target="https://meteor.aihw.gov.au/content/749920" TargetMode="External" Id="R5f4da324e9b04b1d" /><Relationship Type="http://schemas.openxmlformats.org/officeDocument/2006/relationships/hyperlink" Target="https://meteor.aihw.gov.au/content/732332" TargetMode="External" Id="R169177fcc3a64188" /><Relationship Type="http://schemas.openxmlformats.org/officeDocument/2006/relationships/hyperlink" Target="https://meteor.aihw.gov.au/content/756062" TargetMode="External" Id="Rf956d9f802f1423f" /><Relationship Type="http://schemas.openxmlformats.org/officeDocument/2006/relationships/hyperlink" Target="https://meteor.aihw.gov.au/RegistrationAuthority/12" TargetMode="External" Id="R7466d04d4a70486c" /><Relationship Type="http://schemas.openxmlformats.org/officeDocument/2006/relationships/hyperlink" Target="https://meteor.aihw.gov.au/content/762173" TargetMode="External" Id="Rd7a0357bef1d483a" /><Relationship Type="http://schemas.openxmlformats.org/officeDocument/2006/relationships/hyperlink" Target="https://meteor.aihw.gov.au/content/762141" TargetMode="External" Id="R1397b5b521ec4108" /><Relationship Type="http://schemas.openxmlformats.org/officeDocument/2006/relationships/hyperlink" Target="https://meteor.aihw.gov.au/content/775714" TargetMode="External" Id="Re7f0898c6571419f" /><Relationship Type="http://schemas.openxmlformats.org/officeDocument/2006/relationships/hyperlink" Target="https://meteor.aihw.gov.au/RegistrationAuthority/12" TargetMode="External" Id="Re21d9df5a7524c32" /><Relationship Type="http://schemas.openxmlformats.org/officeDocument/2006/relationships/hyperlink" Target="https://meteor.aihw.gov.au/content/762173" TargetMode="External" Id="Raed6483ba4fe4bb1" /><Relationship Type="http://schemas.openxmlformats.org/officeDocument/2006/relationships/hyperlink" Target="https://meteor.aihw.gov.au/content/762141" TargetMode="External" Id="R4b2055f611c34e20" /><Relationship Type="http://schemas.openxmlformats.org/officeDocument/2006/relationships/hyperlink" Target="https://meteor.aihw.gov.au/content/774938" TargetMode="External" Id="R10a2424f790b4a20" /><Relationship Type="http://schemas.openxmlformats.org/officeDocument/2006/relationships/hyperlink" Target="https://meteor.aihw.gov.au/RegistrationAuthority/15" TargetMode="External" Id="Rf5d8f3339580424a" /><Relationship Type="http://schemas.openxmlformats.org/officeDocument/2006/relationships/hyperlink" Target="https://meteor.aihw.gov.au/content/785340" TargetMode="External" Id="R67d9e000612f43c5" /><Relationship Type="http://schemas.openxmlformats.org/officeDocument/2006/relationships/hyperlink" Target="https://meteor.aihw.gov.au/RegistrationAuthority/12" TargetMode="External" Id="Rac81ad9ffb4b4b8c" /></Relationships>
</file>

<file path=word/_rels/header1.xml.rels>&#65279;<?xml version="1.0" encoding="utf-8"?><Relationships xmlns="http://schemas.openxmlformats.org/package/2006/relationships"><Relationship Type="http://schemas.openxmlformats.org/officeDocument/2006/relationships/image" Target="/media/image.png" Id="R7e7e577ad64842d6" /></Relationships>
</file>