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18934a377c41fe"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cd7cf80be4751">
              <w:r>
                <w:rPr>
                  <w:rStyle w:val="Hyperlink"/>
                  <w:color w:val="244061"/>
                </w:rPr>
                <w:t xml:space="preserve">AIHW Data Quality Statements</w:t>
              </w:r>
            </w:hyperlink>
            <w:r>
              <w:rPr>
                <w:rStyle w:val="row-content"/>
                <w:color w:val="244061"/>
              </w:rPr>
              <w:t xml:space="preserve">, Superseded 12/12/2022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p>
          <w:p>
            <w:pPr>
              <w:pStyle w:val="ListParagraph"/>
              <w:numPr>
                <w:ilvl w:val="0"/>
                <w:numId w:val="2"/>
              </w:numPr>
            </w:pPr>
            <w:r>
              <w:rPr>
                <w:rStyle w:val="row-content-rich-text"/>
              </w:rPr>
              <w:t xml:space="preserve">Additionally, unit record community housing data are collected from CHOs via an Excel survey tool managed by the AIHW. One jurisdiction, the Northern Territory, does not use the AIHW-managed survey and does not provide any unit record household data.</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76095b695554cb1">
              <w:r>
                <w:rPr>
                  <w:rStyle w:val="Hyperlink"/>
                  <w:i/>
                </w:rPr>
                <w:t xml:space="preserve">Australian Institute of Health and Welfare Act 1987</w:t>
              </w:r>
            </w:hyperlink>
            <w:r>
              <w:rPr>
                <w:rStyle w:val="row-content-rich-text"/>
              </w:rPr>
              <w:t xml:space="preserve"> (AIHW Act), governed by a </w:t>
            </w:r>
            <w:hyperlink w:history="true" r:id="R7f07aee2e02c46a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12a53f639fd4c06">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c88956d9fd2421f">
              <w:r>
                <w:rPr>
                  <w:rStyle w:val="Hyperlink"/>
                </w:rPr>
                <w:t xml:space="preserve">https://www.aihw.gov.au/about-us</w:t>
              </w:r>
            </w:hyperlink>
            <w:r>
              <w:rPr>
                <w:rStyle w:val="row-content-rich-text"/>
              </w:rPr>
              <w:t xml:space="preserve">, which includes details about the AIHW's governance (</w:t>
            </w:r>
            <w:hyperlink w:history="true" r:id="R3efed3a82d3c4d0f">
              <w:r>
                <w:rPr>
                  <w:rStyle w:val="Hyperlink"/>
                </w:rPr>
                <w:t xml:space="preserve">https://www.aihw.gov.au/about-us/our-governance</w:t>
              </w:r>
            </w:hyperlink>
            <w:r>
              <w:rPr>
                <w:rStyle w:val="row-content-rich-text"/>
              </w:rPr>
              <w:t xml:space="preserve">) and vision and strategic goals (</w:t>
            </w:r>
            <w:hyperlink w:history="true" r:id="R357f0400a7984a35">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2020–21 financial year. The collection is mostly a 30 June 2021 snapshot, but also captures information regarding new households assisted during 2020–21. Limited financial information from the 2019–20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0682a26a1d2c4bac">
              <w:r>
                <w:rPr>
                  <w:rStyle w:val="Hyperlink"/>
                  <w:i/>
                </w:rPr>
                <w:t xml:space="preserve">Housing assistance in Australia</w:t>
              </w:r>
            </w:hyperlink>
            <w:r>
              <w:rPr>
                <w:rStyle w:val="row-content-rich-text"/>
              </w:rPr>
              <w:t xml:space="preserve"> reports and the Productivity Commission's annual </w:t>
            </w:r>
            <w:hyperlink w:history="true" r:id="Rce2931b60ccd48cd">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w:t>
            </w:r>
            <w:hyperlink w:history="true" r:id="R9a4e42db48454011">
              <w:r>
                <w:rPr>
                  <w:rStyle w:val="Hyperlink"/>
                </w:rPr>
                <w:t xml:space="preserve">AIHW’s online 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289bf4ea5c22484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97473cdc5154aee">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supplies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147 community housing organisations, 35 completed the survey tool accounting for 94% of the total dwelling portfolio. The same coverage rate was observed in 2019–20.</w:t>
                  </w:r>
                </w:p>
              </w:tc>
            </w:tr>
            <w:tr>
              <w:trPr/>
              <w:tc>
                <w:tcPr>
                  <w:tcW w:w="1000" w:type="pct"/>
                  <w:vAlign w:val="top"/>
                </w:tcPr>
                <w:p>
                  <w:r>
                    <w:t xml:space="preserve">Victoria</w:t>
                  </w:r>
                </w:p>
              </w:tc>
              <w:tc>
                <w:tcPr>
                  <w:tcW w:w="4000" w:type="pct"/>
                  <w:vAlign w:val="top"/>
                </w:tcPr>
                <w:p>
                  <w:r>
                    <w:t xml:space="preserve">Of the 79 community housing organisations, 57 completed the survey tool. This was a decrease from the 65 community housing organisations who responded to the survey in 2019–20. Information regarding dwellings for which the organisation did not provide unit record data was not reported for 2020–21 so the coverage rate cannot be calculated by the AIHW.</w:t>
                  </w:r>
                </w:p>
              </w:tc>
            </w:tr>
            <w:tr>
              <w:trPr/>
              <w:tc>
                <w:tcPr>
                  <w:tcW w:w="1000" w:type="pct"/>
                  <w:vAlign w:val="top"/>
                </w:tcPr>
                <w:p>
                  <w:r>
                    <w:t xml:space="preserve">Queensland</w:t>
                  </w:r>
                </w:p>
              </w:tc>
              <w:tc>
                <w:tcPr>
                  <w:tcW w:w="4000" w:type="pct"/>
                  <w:vAlign w:val="top"/>
                </w:tcPr>
                <w:p>
                  <w:r>
                    <w:t xml:space="preserve">Of the 145 community housing organisations, 70 completed the survey tool accounting for 93% of the total dwelling portfolio. This represents a decrease from the 97% coverage rate in 2019–20.</w:t>
                  </w:r>
                </w:p>
              </w:tc>
            </w:tr>
            <w:tr>
              <w:trPr/>
              <w:tc>
                <w:tcPr>
                  <w:tcW w:w="1000" w:type="pct"/>
                  <w:vAlign w:val="top"/>
                </w:tcPr>
                <w:p>
                  <w:r>
                    <w:t xml:space="preserve">Western Australia</w:t>
                  </w:r>
                </w:p>
              </w:tc>
              <w:tc>
                <w:tcPr>
                  <w:tcW w:w="4000" w:type="pct"/>
                  <w:vAlign w:val="top"/>
                </w:tcPr>
                <w:p>
                  <w:r>
                    <w:t xml:space="preserve">Of the 34 registered community housing organisations, 28 completed the survey tool accounting for 95% of the total dwelling portfolio. This represents a decrease from the 98% coverage rate in 2019–20.</w:t>
                  </w:r>
                </w:p>
              </w:tc>
            </w:tr>
            <w:tr>
              <w:trPr/>
              <w:tc>
                <w:tcPr>
                  <w:tcW w:w="1000" w:type="pct"/>
                  <w:vAlign w:val="top"/>
                </w:tcPr>
                <w:p>
                  <w:r>
                    <w:t xml:space="preserve">South Australia</w:t>
                  </w:r>
                </w:p>
              </w:tc>
              <w:tc>
                <w:tcPr>
                  <w:tcW w:w="4000" w:type="pct"/>
                  <w:vAlign w:val="top"/>
                </w:tcPr>
                <w:p>
                  <w:r>
                    <w:t xml:space="preserve">All 28 community housing organisations completed the survey tool covering 100% of the total dwelling portfolio. The same coverage rate was observed in 2019–20.</w:t>
                  </w:r>
                </w:p>
              </w:tc>
            </w:tr>
            <w:tr>
              <w:trPr/>
              <w:tc>
                <w:tcPr>
                  <w:tcW w:w="1000" w:type="pct"/>
                  <w:vAlign w:val="top"/>
                </w:tcPr>
                <w:p>
                  <w:r>
                    <w:t xml:space="preserve">Tasmania</w:t>
                  </w:r>
                </w:p>
              </w:tc>
              <w:tc>
                <w:tcPr>
                  <w:tcW w:w="4000" w:type="pct"/>
                  <w:vAlign w:val="top"/>
                </w:tcPr>
                <w:p>
                  <w:r>
                    <w:t xml:space="preserve">Of the 53 community housing organisations, 37 completed the survey tool. This was a decrease from the 42 community housing organisations who responded to the survey in 2019–20. Information regarding dwellings for which the organisation did not provide unit record data was not reported for 2020–21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7 community housing organisations completed the survey tool covering 100% of the total dwelling portfolio. The same coverage rate was observed in 2019–20.</w:t>
                  </w:r>
                </w:p>
              </w:tc>
            </w:tr>
            <w:tr>
              <w:trPr/>
              <w:tc>
                <w:tcPr>
                  <w:tcW w:w="1000" w:type="pct"/>
                  <w:vAlign w:val="top"/>
                </w:tcPr>
                <w:p>
                  <w:r>
                    <w:t xml:space="preserve">Northern Territory</w:t>
                  </w:r>
                </w:p>
              </w:tc>
              <w:tc>
                <w:tcPr>
                  <w:tcW w:w="4000" w:type="pct"/>
                  <w:vAlign w:val="top"/>
                </w:tcPr>
                <w:p>
                  <w:r>
                    <w:t xml:space="preserve">Only administrative data were provided for 38 community housing organisations. Administrative data were provided for the same number of community housing organisations in 2019–20.</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All states and territories have an integrated waitlist; therefore, applicants are generally counted once irrespective of the number of programs for which they are applying. In some states and territories, CHOs may additionally maintain and allocate housing to households on their own waiting list. In New South Wales and Victoria,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New South Wales does not consider ‘boarding/rooming house’ and ‘joint venture’ program types and therefore do not supply data against these programs.</w:t>
            </w:r>
          </w:p>
          <w:p>
            <w:r>
              <w:rPr>
                <w:b/>
              </w:rPr>
              <w:t xml:space="preserve">Victoria</w:t>
            </w:r>
          </w:p>
          <w:p>
            <w:pPr>
              <w:pStyle w:val="ListParagraph"/>
              <w:numPr>
                <w:ilvl w:val="0"/>
                <w:numId w:val="5"/>
              </w:numPr>
            </w:pPr>
            <w:r>
              <w:t xml:space="preserve">Waitlist data relate to information capture by community housing organisations and not the Victorian Housing Register. Information from the register is reported in the PH collection.</w:t>
            </w:r>
          </w:p>
          <w:p>
            <w:r>
              <w:rPr>
                <w:b/>
              </w:rPr>
              <w:t xml:space="preserve">Queensland</w:t>
            </w:r>
          </w:p>
          <w:p>
            <w:pPr>
              <w:pStyle w:val="ListParagraph"/>
              <w:numPr>
                <w:ilvl w:val="0"/>
                <w:numId w:val="6"/>
              </w:numPr>
            </w:pPr>
            <w:r>
              <w:t xml:space="preserve">As a result of Queensland’s integrated waitlist, all current waitlist applications were included in the CH collection regardless of the housing programs applied for. As applicants can be eligible for multiple housing programs, caution should be used when comparing waitlist totals due to overlap.</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 some:</w:t>
            </w:r>
            <w:r>
              <w:br/>
            </w:r>
            <w:r>
              <w:t xml:space="preserve">        • CHOs charge a flat fee for board or lodging and may include support care, utility and communal costs</w:t>
            </w:r>
            <w:r>
              <w:br/>
            </w:r>
            <w:r>
              <w:t xml:space="preserve">        • rents are set as a fixed percentage of the market rent rather than using incomes to calculate the rent payable</w:t>
            </w:r>
            <w:r>
              <w:br/>
            </w:r>
            <w:r>
              <w:t xml:space="preserve">        • CHOs cannot separate Commonwealth Rent Assistance (CRA) out of income or rent.</w:t>
            </w:r>
          </w:p>
          <w:p>
            <w:r>
              <w:rPr>
                <w:b/>
              </w:rPr>
              <w:t xml:space="preserve">Australian Capital Territory</w:t>
            </w:r>
          </w:p>
          <w:p>
            <w:pPr>
              <w:pStyle w:val="ListParagraph"/>
              <w:numPr>
                <w:ilvl w:val="0"/>
                <w:numId w:val="8"/>
              </w:numPr>
            </w:pPr>
            <w:r>
              <w:t xml:space="preserve">Integrated waitlist data are unable to differentiate between new applicants and applicants requesting a transfer. The use of separate community housing organisation-managed waiting lists has grown over time. Consequently, some households on a waiting list may be counted more than once.</w:t>
            </w:r>
          </w:p>
          <w:p>
            <w:pPr>
              <w:pStyle w:val="ListParagraph"/>
              <w:numPr>
                <w:ilvl w:val="0"/>
                <w:numId w:val="8"/>
              </w:numPr>
            </w:pPr>
            <w:r>
              <w:t xml:space="preserve">In 2020–21, ACT eviction moratoriums in response to COVID-19 meant that several community housing organisations did not update income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Therefore, care is required when comparing remoteness data across time.</w:t>
            </w:r>
          </w:p>
          <w:p>
            <w:pPr>
              <w:pStyle w:val="ListParagraph"/>
              <w:numPr>
                <w:ilvl w:val="0"/>
                <w:numId w:val="9"/>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All jurisdictions have their own integrated waiting list. In Tasmania, the 4 main </w:t>
            </w:r>
            <w:r>
              <w:rPr>
                <w:rStyle w:val="row-content-rich-text"/>
                <w:i/>
              </w:rPr>
              <w:t xml:space="preserve">Better Housing Futures</w:t>
            </w:r>
            <w:r>
              <w:rPr>
                <w:rStyle w:val="row-content-rich-text"/>
              </w:rPr>
              <w:t xml:space="preserve"> community housing providers use a shared Housing Register (public and community housing) to select tenants. The other smaller providers have no requirement to use this register and therefore may have their own waitlists.</w:t>
            </w:r>
          </w:p>
          <w:p>
            <w:pPr>
              <w:pStyle w:val="ListParagraph"/>
              <w:numPr>
                <w:ilvl w:val="0"/>
                <w:numId w:val="9"/>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From 2018–19, low income cut-offs are based on 2017–18 SIH results. Care is required when comparing low income measures over time.</w:t>
            </w:r>
          </w:p>
          <w:p>
            <w:pPr>
              <w:pStyle w:val="ListParagraph"/>
              <w:numPr>
                <w:ilvl w:val="0"/>
                <w:numId w:val="9"/>
              </w:numPr>
            </w:pPr>
            <w:r>
              <w:rPr>
                <w:rStyle w:val="row-content-rich-text"/>
              </w:rPr>
              <w:t xml:space="preserve">Due to turnover of staff at some CHOs and variation in coding practices, the classification of some program types and dwelling types vary from year to year. Therefore,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2013–14, New South Wales has provided unit record data. Therefore, data prior to this is not comparable.</w:t>
            </w:r>
          </w:p>
          <w:p>
            <w:pPr>
              <w:pStyle w:val="ListParagraph"/>
              <w:numPr>
                <w:ilvl w:val="0"/>
                <w:numId w:val="10"/>
              </w:numPr>
            </w:pPr>
            <w:r>
              <w:rPr>
                <w:rStyle w:val="row-content-rich-text"/>
              </w:rPr>
              <w:t xml:space="preserve">New South Wales reported NRAS dwellings for the first time in 2015–16.</w:t>
            </w:r>
          </w:p>
          <w:p>
            <w:pPr>
              <w:pStyle w:val="ListParagraph"/>
              <w:numPr>
                <w:ilvl w:val="0"/>
                <w:numId w:val="10"/>
              </w:numPr>
            </w:pPr>
            <w:r>
              <w:rPr>
                <w:rStyle w:val="row-content-rich-text"/>
              </w:rPr>
              <w:t xml:space="preserve">For 2015–16 and 2016–17, NRAS dwellings were excluded from the calculation of the occupancy rate.</w:t>
            </w:r>
          </w:p>
          <w:p>
            <w:pPr>
              <w:pStyle w:val="ListParagraph"/>
              <w:numPr>
                <w:ilvl w:val="0"/>
                <w:numId w:val="10"/>
              </w:numPr>
            </w:pPr>
            <w:r>
              <w:rPr>
                <w:rStyle w:val="row-content-rich-text"/>
              </w:rPr>
              <w:t xml:space="preserve">Data for additional affordable housing properties have been included for the first time from 2016–17.</w:t>
            </w:r>
          </w:p>
          <w:p>
            <w:pPr>
              <w:pStyle w:val="ListParagraph"/>
              <w:numPr>
                <w:ilvl w:val="0"/>
                <w:numId w:val="10"/>
              </w:numPr>
            </w:pPr>
            <w:r>
              <w:rPr>
                <w:rStyle w:val="row-content-rich-text"/>
              </w:rPr>
              <w:t xml:space="preserve">In 2017–18, ‘other’ community housing program dwellings were reported for the first time. In New South Wales, ‘other’ refers to non-NRAS affordable housing.</w:t>
            </w:r>
          </w:p>
          <w:p>
            <w:pPr>
              <w:pStyle w:val="ListParagraph"/>
              <w:numPr>
                <w:ilvl w:val="0"/>
                <w:numId w:val="10"/>
              </w:numPr>
            </w:pPr>
            <w:r>
              <w:rPr>
                <w:rStyle w:val="row-content-rich-text"/>
              </w:rPr>
              <w:t xml:space="preserve">In 2018–19, data quality for income in comparison to rent charged improved.</w:t>
            </w:r>
          </w:p>
          <w:p>
            <w:pPr>
              <w:pStyle w:val="ListParagraph"/>
              <w:numPr>
                <w:ilvl w:val="0"/>
                <w:numId w:val="10"/>
              </w:numPr>
            </w:pPr>
            <w:r>
              <w:rPr>
                <w:rStyle w:val="row-content-rich-text"/>
              </w:rPr>
              <w:t xml:space="preserve">In 2019–20, some CHOs changed the way they reported transitional housing. This affected program type and overcrowding calculations.</w:t>
            </w:r>
          </w:p>
          <w:p>
            <w:pPr>
              <w:spacing w:after="160"/>
            </w:pPr>
            <w:r>
              <w:rPr>
                <w:rStyle w:val="row-content-rich-text"/>
                <w:b/>
              </w:rPr>
              <w:t xml:space="preserve">Victoria</w:t>
            </w:r>
          </w:p>
          <w:p>
            <w:pPr>
              <w:pStyle w:val="ListParagraph"/>
              <w:numPr>
                <w:ilvl w:val="0"/>
                <w:numId w:val="11"/>
              </w:numPr>
            </w:pPr>
            <w:r>
              <w:rPr>
                <w:rStyle w:val="row-content-rich-text"/>
              </w:rPr>
              <w:t xml:space="preserve">In 2016–17, reduced survey returns from CHOs resulted in a decrease in net recurrent costs per unit and total rents charged. Therefore, care is advised when comparing data for 2016–17 with previous years.</w:t>
            </w:r>
          </w:p>
          <w:p>
            <w:pPr>
              <w:pStyle w:val="ListParagraph"/>
              <w:numPr>
                <w:ilvl w:val="0"/>
                <w:numId w:val="11"/>
              </w:numPr>
            </w:pPr>
            <w:r>
              <w:rPr>
                <w:rStyle w:val="row-content-rich-text"/>
              </w:rPr>
              <w:t xml:space="preserve">Commencing in 2016–17, community housing applications were transferred to the Victorian Housing Register which integrated public and community housing waiting lists. Housing applications were reviewed to remove those that were duplicates, inaccurate or out of date. This could have contributed to the decrease in waitlist numbers in 2016–17. This exercise was completed in 2019–20. Most CHOs now use the common waitlist resulting in a further decrease in waitlist numbers. From 2019–20, waitlist data relate to information captured by community housing organisations and not the Victorian Housing Register.</w:t>
            </w:r>
          </w:p>
          <w:p>
            <w:pPr>
              <w:pStyle w:val="ListParagraph"/>
              <w:numPr>
                <w:ilvl w:val="0"/>
                <w:numId w:val="11"/>
              </w:numPr>
            </w:pPr>
            <w:r>
              <w:rPr>
                <w:rStyle w:val="row-content-rich-text"/>
              </w:rPr>
              <w:t xml:space="preserve">In 2018–19, a reporting error by one CHO affected a large number of dwellings which led to inflated underutilisation figures for the state.</w:t>
            </w:r>
          </w:p>
          <w:p>
            <w:pPr>
              <w:pStyle w:val="ListParagraph"/>
              <w:numPr>
                <w:ilvl w:val="0"/>
                <w:numId w:val="11"/>
              </w:numPr>
            </w:pPr>
            <w:r>
              <w:rPr>
                <w:rStyle w:val="row-content-rich-text"/>
              </w:rPr>
              <w:t xml:space="preserve">In 2018–19 and 2019–20, for one CHO, program type was coded to ‘other’ by default.</w:t>
            </w:r>
          </w:p>
          <w:p>
            <w:pPr>
              <w:spacing w:after="160"/>
            </w:pPr>
            <w:r>
              <w:rPr>
                <w:rStyle w:val="row-content-rich-text"/>
                <w:b/>
              </w:rPr>
              <w:t xml:space="preserve">Queensland</w:t>
            </w:r>
          </w:p>
          <w:p>
            <w:pPr>
              <w:pStyle w:val="ListParagraph"/>
              <w:numPr>
                <w:ilvl w:val="0"/>
                <w:numId w:val="12"/>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2"/>
              </w:numPr>
            </w:pPr>
            <w:r>
              <w:rPr>
                <w:rStyle w:val="row-content-rich-text"/>
              </w:rPr>
              <w:t xml:space="preserve">From 2013–14, Affordable Housing Program data have been provided. These data were not available in prior collection periods.</w:t>
            </w:r>
          </w:p>
          <w:p>
            <w:pPr>
              <w:pStyle w:val="ListParagraph"/>
              <w:numPr>
                <w:ilvl w:val="0"/>
                <w:numId w:val="12"/>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2"/>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2"/>
              </w:numPr>
            </w:pPr>
            <w:r>
              <w:rPr>
                <w:rStyle w:val="row-content-rich-text"/>
              </w:rPr>
              <w:t xml:space="preserve">In 2016–17, due to a change in policy, all applicants on the housing waitlist for social rental housing were counted, whereas in previous years only those listed for community housing were counted. Therefore, data for 2016–17 onwards are not comparable with that of previous years.</w:t>
            </w:r>
          </w:p>
          <w:p>
            <w:pPr>
              <w:pStyle w:val="ListParagraph"/>
              <w:numPr>
                <w:ilvl w:val="0"/>
                <w:numId w:val="12"/>
              </w:numPr>
            </w:pPr>
            <w:r>
              <w:rPr>
                <w:rStyle w:val="row-content-rich-text"/>
              </w:rPr>
              <w:t xml:space="preserve">Since 2016–17, data have only been provided for current tenancies and households as at 30 June. Therefore, care is advised when comparing data for 2016–17 onwards with that of previous years.</w:t>
            </w:r>
          </w:p>
          <w:p>
            <w:pPr>
              <w:pStyle w:val="ListParagraph"/>
              <w:numPr>
                <w:ilvl w:val="0"/>
                <w:numId w:val="12"/>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pStyle w:val="ListParagraph"/>
              <w:numPr>
                <w:ilvl w:val="0"/>
                <w:numId w:val="12"/>
              </w:numPr>
            </w:pPr>
            <w:r>
              <w:rPr>
                <w:rStyle w:val="row-content-rich-text"/>
              </w:rPr>
              <w:t xml:space="preserve">There was a major system change in 2019–20. Caution should be used when comparing 2019–20 data with that of previous years.</w:t>
            </w:r>
          </w:p>
          <w:p>
            <w:pPr>
              <w:pStyle w:val="ListParagraph"/>
              <w:numPr>
                <w:ilvl w:val="0"/>
                <w:numId w:val="12"/>
              </w:numPr>
            </w:pPr>
            <w:r>
              <w:rPr>
                <w:rStyle w:val="row-content-rich-text"/>
              </w:rPr>
              <w:t xml:space="preserve">From 2020–21, pre-1996 rental units were included in the collection, although tenancy data are not reported for these units. Prior to this, these units were excluded.</w:t>
            </w:r>
          </w:p>
          <w:p>
            <w:pPr>
              <w:pStyle w:val="ListParagraph"/>
              <w:numPr>
                <w:ilvl w:val="0"/>
                <w:numId w:val="12"/>
              </w:numPr>
            </w:pPr>
            <w:r>
              <w:rPr>
                <w:rStyle w:val="row-content-rich-text"/>
              </w:rPr>
              <w:t xml:space="preserve">From 2020–21, community housing organisations that managed pre-1996 rental units only were included in the collection. Prior to this, these organisations were excluded.</w:t>
            </w:r>
          </w:p>
          <w:p>
            <w:pPr>
              <w:spacing w:after="160"/>
            </w:pPr>
            <w:r>
              <w:rPr>
                <w:rStyle w:val="row-content-rich-text"/>
                <w:b/>
              </w:rPr>
              <w:t xml:space="preserve">Western Australia</w:t>
            </w:r>
          </w:p>
          <w:p>
            <w:pPr>
              <w:pStyle w:val="ListParagraph"/>
              <w:numPr>
                <w:ilvl w:val="0"/>
                <w:numId w:val="13"/>
              </w:numPr>
            </w:pPr>
            <w:r>
              <w:rPr>
                <w:rStyle w:val="row-content-rich-text"/>
              </w:rPr>
              <w:t xml:space="preserve">From 2014–15, methodological changes have resulted in better identification of households with Indigenous members.</w:t>
            </w:r>
          </w:p>
          <w:p>
            <w:pPr>
              <w:pStyle w:val="ListParagraph"/>
              <w:numPr>
                <w:ilvl w:val="0"/>
                <w:numId w:val="13"/>
              </w:numPr>
            </w:pPr>
            <w:r>
              <w:rPr>
                <w:rStyle w:val="row-content-rich-text"/>
              </w:rPr>
              <w:t xml:space="preserve">Errors have occurred when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3"/>
              </w:numPr>
            </w:pPr>
            <w:r>
              <w:rPr>
                <w:rStyle w:val="row-content-rich-text"/>
              </w:rPr>
              <w:t xml:space="preserve">A new organisation responded to the survey for the first time in 2017–18, contributing nearly 600 additional applicants to the waitlist. This organisation did not respond in 2018–19 and 2019–20.</w:t>
            </w:r>
          </w:p>
          <w:p>
            <w:pPr>
              <w:pStyle w:val="ListParagraph"/>
              <w:numPr>
                <w:ilvl w:val="0"/>
                <w:numId w:val="13"/>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pStyle w:val="ListParagraph"/>
              <w:numPr>
                <w:ilvl w:val="0"/>
                <w:numId w:val="13"/>
              </w:numPr>
            </w:pPr>
            <w:r>
              <w:rPr>
                <w:rStyle w:val="row-content-rich-text"/>
              </w:rPr>
              <w:t xml:space="preserve">In 2019–20, one CHO included wages for the first time in their provider net recurrent costs, resulting in an increase in total provider net recurrent costs.</w:t>
            </w:r>
          </w:p>
          <w:p>
            <w:pPr>
              <w:pStyle w:val="ListParagraph"/>
              <w:numPr>
                <w:ilvl w:val="0"/>
                <w:numId w:val="13"/>
              </w:numPr>
            </w:pPr>
            <w:r>
              <w:rPr>
                <w:rStyle w:val="row-content-rich-text"/>
              </w:rPr>
              <w:t xml:space="preserve">In 2019–20, one CHO reported household income for the first time.</w:t>
            </w:r>
          </w:p>
          <w:p>
            <w:pPr>
              <w:spacing w:after="160"/>
            </w:pPr>
            <w:r>
              <w:rPr>
                <w:rStyle w:val="row-content-rich-text"/>
                <w:b/>
              </w:rPr>
              <w:t xml:space="preserve">South Australia</w:t>
            </w:r>
          </w:p>
          <w:p>
            <w:pPr>
              <w:pStyle w:val="ListParagraph"/>
              <w:numPr>
                <w:ilvl w:val="0"/>
                <w:numId w:val="14"/>
              </w:numPr>
            </w:pPr>
            <w:r>
              <w:rPr>
                <w:rStyle w:val="row-content-rich-text"/>
              </w:rPr>
              <w:t xml:space="preserve">Prior to 2012–13, the waitlist data reported were based solely on the Community Housing Customer Register. Applicants for NRAS properties were registered on a separate waitlist and not reported. Since 2012–13, waitlist data have been reported for the total number of applicants for community housing and affordable housing.</w:t>
            </w:r>
          </w:p>
          <w:p>
            <w:pPr>
              <w:pStyle w:val="ListParagraph"/>
              <w:numPr>
                <w:ilvl w:val="0"/>
                <w:numId w:val="14"/>
              </w:numPr>
            </w:pPr>
            <w:r>
              <w:rPr>
                <w:rStyle w:val="row-content-rich-text"/>
              </w:rPr>
              <w:t xml:space="preserve">From 2014–15, methodological improvements have resulted in better identification of households with Indigenous members.</w:t>
            </w:r>
          </w:p>
          <w:p>
            <w:pPr>
              <w:pStyle w:val="ListParagraph"/>
              <w:numPr>
                <w:ilvl w:val="0"/>
                <w:numId w:val="14"/>
              </w:numPr>
            </w:pPr>
            <w:r>
              <w:rPr>
                <w:rStyle w:val="row-content-rich-text"/>
              </w:rPr>
              <w:t xml:space="preserve">In 2016–17, a single housing register was implemented for public and community housing resulting in an increase in the number of applicants on the waiting list. Therefore, caution is advised when comparing data from 2016–17 onwards with previous years.</w:t>
            </w:r>
          </w:p>
          <w:p>
            <w:pPr>
              <w:pStyle w:val="ListParagraph"/>
              <w:numPr>
                <w:ilvl w:val="0"/>
                <w:numId w:val="14"/>
              </w:numPr>
            </w:pPr>
            <w:r>
              <w:rPr>
                <w:rStyle w:val="row-content-rich-text"/>
              </w:rPr>
              <w:t xml:space="preserve">From 2018–19, transitional housing data were included.</w:t>
            </w:r>
          </w:p>
          <w:p>
            <w:pPr>
              <w:pStyle w:val="ListParagraph"/>
              <w:numPr>
                <w:ilvl w:val="0"/>
                <w:numId w:val="14"/>
              </w:numPr>
            </w:pPr>
            <w:r>
              <w:rPr>
                <w:rStyle w:val="row-content-rich-text"/>
              </w:rPr>
              <w:t xml:space="preserve">In 2019–20, due to an internal policy change, there has been a large increase in the identification of households that were homeless at the time of allocation.</w:t>
            </w:r>
          </w:p>
          <w:p>
            <w:pPr>
              <w:spacing w:after="160"/>
            </w:pPr>
            <w:r>
              <w:rPr>
                <w:rStyle w:val="row-content-rich-text"/>
                <w:b/>
              </w:rPr>
              <w:t xml:space="preserve">Tasmania</w:t>
            </w:r>
          </w:p>
          <w:p>
            <w:pPr>
              <w:pStyle w:val="ListParagraph"/>
              <w:numPr>
                <w:ilvl w:val="0"/>
                <w:numId w:val="15"/>
              </w:numPr>
            </w:pPr>
            <w:r>
              <w:rPr>
                <w:rStyle w:val="row-content-rich-text"/>
              </w:rPr>
              <w:t xml:space="preserve">From 2015–16 onwards, waitlist data represents information captured by the CHOs and not the shared waitlist. Therefore, care is advised when comparing waitlist data from 2015–16 onwards with that of previous years.</w:t>
            </w:r>
          </w:p>
          <w:p>
            <w:pPr>
              <w:pStyle w:val="ListParagraph"/>
              <w:numPr>
                <w:ilvl w:val="0"/>
                <w:numId w:val="15"/>
              </w:numPr>
            </w:pPr>
            <w:r>
              <w:rPr>
                <w:rStyle w:val="row-content-rich-text"/>
              </w:rPr>
              <w:t xml:space="preserve">In 2018–19, survey data received from CHOs contained a large number of errors and a high proportion of ‘unknown’ data. While substantial data cleaning was undertaken, it is likely that data quality issues still exist.</w:t>
            </w:r>
          </w:p>
          <w:p>
            <w:pPr>
              <w:spacing w:after="160"/>
            </w:pPr>
            <w:r>
              <w:rPr>
                <w:rStyle w:val="row-content-rich-text"/>
                <w:b/>
              </w:rPr>
              <w:t xml:space="preserve">Australian Capital Territory</w:t>
            </w:r>
          </w:p>
          <w:p>
            <w:pPr>
              <w:pStyle w:val="ListParagraph"/>
              <w:numPr>
                <w:ilvl w:val="0"/>
                <w:numId w:val="16"/>
              </w:numPr>
            </w:pPr>
            <w:r>
              <w:rPr>
                <w:rStyle w:val="row-content-rich-text"/>
              </w:rPr>
              <w:t xml:space="preserve">From 2018–19, data for applicants for transfer relate to information captured by community housing organisations and not the shared waitlist.</w:t>
            </w:r>
          </w:p>
          <w:p>
            <w:pPr>
              <w:pStyle w:val="ListParagraph"/>
              <w:numPr>
                <w:ilvl w:val="0"/>
                <w:numId w:val="16"/>
              </w:numPr>
            </w:pPr>
            <w:r>
              <w:rPr>
                <w:rStyle w:val="row-content-rich-text"/>
              </w:rPr>
              <w:t xml:space="preserve">In 2018–19, rent was not reported for some tenants (with ending tenancies) who had a negative rent payment (refund) in the last week of the financial year.</w:t>
            </w:r>
          </w:p>
          <w:p>
            <w:pPr>
              <w:spacing w:after="160"/>
            </w:pPr>
            <w:r>
              <w:rPr>
                <w:rStyle w:val="row-content-rich-text"/>
                <w:b/>
              </w:rPr>
              <w:t xml:space="preserve">Northern Territory</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348aef47344b92">
              <w:r>
                <w:rPr>
                  <w:rStyle w:val="Hyperlink"/>
                </w:rPr>
                <w:t xml:space="preserve">Community Housing Data Collection, 2019–20; Quality Statement</w:t>
              </w:r>
            </w:hyperlink>
          </w:p>
          <w:p>
            <w:pPr>
              <w:spacing w:before="0" w:after="0"/>
            </w:pPr>
            <w:r>
              <w:rPr>
                <w:rStyle w:val="row-content"/>
                <w:color w:val="244061"/>
              </w:rPr>
              <w:t xml:space="preserve">       </w:t>
            </w:r>
            <w:hyperlink w:history="true" r:id="R1aaff60b97234120">
              <w:r>
                <w:rPr>
                  <w:rStyle w:val="Hyperlink"/>
                  <w:color w:val="244061"/>
                </w:rPr>
                <w:t xml:space="preserve">AIHW Data Quality Statements</w:t>
              </w:r>
            </w:hyperlink>
            <w:r>
              <w:rPr>
                <w:rStyle w:val="row-content"/>
                <w:color w:val="244061"/>
              </w:rPr>
              <w:t xml:space="preserve">, Superseded 13/01/2022</w:t>
            </w:r>
          </w:p>
          <w:p>
            <w:r>
              <w:br/>
            </w:r>
            <w:r>
              <w:rPr>
                <w:rStyle w:val="row-content"/>
              </w:rPr>
              <w:t xml:space="preserve">Has been superseded by </w:t>
            </w:r>
            <w:hyperlink w:history="true" r:id="R0935b7ca92354bd3">
              <w:r>
                <w:rPr>
                  <w:rStyle w:val="Hyperlink"/>
                </w:rPr>
                <w:t xml:space="preserve">Community Housing Data Collection, 2021–22; Quality Statement</w:t>
              </w:r>
            </w:hyperlink>
          </w:p>
          <w:p>
            <w:pPr>
              <w:spacing w:before="0" w:after="0"/>
            </w:pPr>
            <w:r>
              <w:rPr>
                <w:rStyle w:val="row-content"/>
                <w:color w:val="244061"/>
              </w:rPr>
              <w:t xml:space="preserve">       </w:t>
            </w:r>
            <w:hyperlink w:history="true" r:id="R19a136b14f3d4ba8">
              <w:r>
                <w:rPr>
                  <w:rStyle w:val="Hyperlink"/>
                  <w:color w:val="244061"/>
                </w:rPr>
                <w:t xml:space="preserve">AIHW Data Quality Statements</w:t>
              </w:r>
            </w:hyperlink>
            <w:r>
              <w:rPr>
                <w:rStyle w:val="row-content"/>
                <w:color w:val="244061"/>
              </w:rPr>
              <w:t xml:space="preserve">, Superseded 11/01/2024</w:t>
            </w:r>
          </w:p>
          <w:p>
            <w:r>
              <w:br/>
            </w:r>
          </w:p>
        </w:tc>
      </w:tr>
    </w:tbl>
    <w:p>
      <w:r>
        <w:br/>
      </w:r>
    </w:p>
    <w:sectPr>
      <w:footerReference xmlns:r="http://schemas.openxmlformats.org/officeDocument/2006/relationships" w:type="default" r:id="R3349a7915ec0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749875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282086d88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9a7915ec04a3d" /><Relationship Type="http://schemas.openxmlformats.org/officeDocument/2006/relationships/header" Target="/word/header1.xml" Id="R6d7470f515ae4279" /><Relationship Type="http://schemas.openxmlformats.org/officeDocument/2006/relationships/settings" Target="/word/settings.xml" Id="Rf567b8b1c7e04482" /><Relationship Type="http://schemas.openxmlformats.org/officeDocument/2006/relationships/styles" Target="/word/styles.xml" Id="R536bf87ed41e410c" /><Relationship Type="http://schemas.openxmlformats.org/officeDocument/2006/relationships/hyperlink" Target="https://meteor.aihw.gov.au/RegistrationAuthority/5" TargetMode="External" Id="Rce7cd7cf80be4751" /><Relationship Type="http://schemas.openxmlformats.org/officeDocument/2006/relationships/numbering" Target="/word/numbering.xml" Id="Rd2e73c6e74cb47f5" /><Relationship Type="http://schemas.openxmlformats.org/officeDocument/2006/relationships/hyperlink" Target="https://www.legislation.gov.au/Series/C2004A03450" TargetMode="External" Id="Rd76095b695554cb1" /><Relationship Type="http://schemas.openxmlformats.org/officeDocument/2006/relationships/hyperlink" Target="https://www.aihw.gov.au/about-us/our-governance" TargetMode="External" Id="R7f07aee2e02c46ae" /><Relationship Type="http://schemas.openxmlformats.org/officeDocument/2006/relationships/hyperlink" Target="https://www.legislation.gov.au/Series/C2004A03712" TargetMode="External" Id="Rb12a53f639fd4c06" /><Relationship Type="http://schemas.openxmlformats.org/officeDocument/2006/relationships/hyperlink" Target="https://www.aihw.gov.au/about-us" TargetMode="External" Id="R6c88956d9fd2421f" /><Relationship Type="http://schemas.openxmlformats.org/officeDocument/2006/relationships/hyperlink" Target="https://www.aihw.gov.au/about-us/our-governance" TargetMode="External" Id="R3efed3a82d3c4d0f" /><Relationship Type="http://schemas.openxmlformats.org/officeDocument/2006/relationships/hyperlink" Target="https://www.aihw.gov.au/about-us/our-vision-and-strategic-goals" TargetMode="External" Id="R357f0400a7984a35" /><Relationship Type="http://schemas.openxmlformats.org/officeDocument/2006/relationships/hyperlink" Target="https://www.aihw.gov.au/reports-statistics/health-welfare-services/housing-assistance/overview" TargetMode="External" Id="R0682a26a1d2c4bac" /><Relationship Type="http://schemas.openxmlformats.org/officeDocument/2006/relationships/hyperlink" Target="http://www.pc.gov.au/research/ongoing/report-on-government-services" TargetMode="External" Id="Rce2931b60ccd48cd" /><Relationship Type="http://schemas.openxmlformats.org/officeDocument/2006/relationships/hyperlink" Target="https://www.aihw.gov.au/our-services/data-on-request" TargetMode="External" Id="R9a4e42db48454011" /><Relationship Type="http://schemas.openxmlformats.org/officeDocument/2006/relationships/hyperlink" Target="mailto:info@aihw.gov.au" TargetMode="External" Id="R289bf4ea5c224842" /><Relationship Type="http://schemas.openxmlformats.org/officeDocument/2006/relationships/hyperlink" Target="https://meteor.aihw.gov.au/content/710899" TargetMode="External" Id="Re97473cdc5154aee" /><Relationship Type="http://schemas.openxmlformats.org/officeDocument/2006/relationships/hyperlink" Target="https://meteor.aihw.gov.au/content/731020" TargetMode="External" Id="R30348aef47344b92" /><Relationship Type="http://schemas.openxmlformats.org/officeDocument/2006/relationships/hyperlink" Target="https://meteor.aihw.gov.au/RegistrationAuthority/5" TargetMode="External" Id="R1aaff60b97234120" /><Relationship Type="http://schemas.openxmlformats.org/officeDocument/2006/relationships/hyperlink" Target="https://meteor.aihw.gov.au/content/761574" TargetMode="External" Id="R0935b7ca92354bd3" /><Relationship Type="http://schemas.openxmlformats.org/officeDocument/2006/relationships/hyperlink" Target="https://meteor.aihw.gov.au/RegistrationAuthority/5" TargetMode="External" Id="R19a136b14f3d4ba8" /></Relationships>
</file>

<file path=word/_rels/header1.xml.rels>&#65279;<?xml version="1.0" encoding="utf-8"?><Relationships xmlns="http://schemas.openxmlformats.org/package/2006/relationships"><Relationship Type="http://schemas.openxmlformats.org/officeDocument/2006/relationships/image" Target="/media/image.png" Id="Rbf7282086d884d6c" /></Relationships>
</file>