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0936ba12454581"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4338836ee483c">
              <w:r>
                <w:rPr>
                  <w:rStyle w:val="Hyperlink"/>
                  <w:color w:val="244061"/>
                </w:rPr>
                <w:t xml:space="preserve">AIHW Data Quality Statements</w:t>
              </w:r>
            </w:hyperlink>
            <w:r>
              <w:rPr>
                <w:rStyle w:val="row-content"/>
                <w:color w:val="244061"/>
              </w:rPr>
              <w:t xml:space="preserve">, Superseded 23/11/2022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territories—New South Wales, Queensland, South Australia, Tasmania and the Northern Territory—provide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2020–21 financial year and point in time at 30 June 2021.</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58f49153eafa4ca4">
              <w:r>
                <w:rPr>
                  <w:rStyle w:val="Hyperlink"/>
                  <w:i/>
                </w:rPr>
                <w:t xml:space="preserve">Australian Institute of Health and Welfare Act 1987</w:t>
              </w:r>
            </w:hyperlink>
            <w:r>
              <w:rPr>
                <w:rStyle w:val="row-content-rich-text"/>
              </w:rPr>
              <w:t xml:space="preserve"> (AIHW Act), governed by a </w:t>
            </w:r>
            <w:hyperlink w:history="true" r:id="R5204d2075c49497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b9fa67069864643">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91f6faaecad42f3">
              <w:r>
                <w:rPr>
                  <w:rStyle w:val="Hyperlink"/>
                </w:rPr>
                <w:t xml:space="preserve">https://www.aihw.gov.au/about-us</w:t>
              </w:r>
            </w:hyperlink>
            <w:r>
              <w:rPr>
                <w:rStyle w:val="row-content-rich-text"/>
              </w:rPr>
              <w:t xml:space="preserve">, which includes details about the AIHW's governance (</w:t>
            </w:r>
            <w:hyperlink w:history="true" r:id="R3729fa5cf9d3480e">
              <w:r>
                <w:rPr>
                  <w:rStyle w:val="Hyperlink"/>
                </w:rPr>
                <w:t xml:space="preserve">https://www.aihw.gov.au/about-us/our-governance</w:t>
              </w:r>
            </w:hyperlink>
            <w:r>
              <w:rPr>
                <w:rStyle w:val="row-content-rich-text"/>
              </w:rPr>
              <w:t xml:space="preserve">) and vision and strategic goals (</w:t>
            </w:r>
            <w:hyperlink w:history="true" r:id="Rcd9450caae3c422e">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f361ff6c0b49494f">
              <w:r>
                <w:rPr>
                  <w:rStyle w:val="Hyperlink"/>
                  <w:i/>
                </w:rPr>
                <w:t xml:space="preserve">Housing assistance in Australia</w:t>
              </w:r>
            </w:hyperlink>
            <w:r>
              <w:rPr>
                <w:rStyle w:val="row-content-rich-text"/>
              </w:rPr>
              <w:t xml:space="preserve"> reports and the Productivity Commission's annual </w:t>
            </w:r>
            <w:hyperlink w:history="true" r:id="R897aff08201c48f9">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data request system at </w:t>
            </w:r>
            <w:hyperlink w:history="true" r:id="R36be8a624e544863">
              <w:r>
                <w:rPr>
                  <w:rStyle w:val="Hyperlink"/>
                </w:rPr>
                <w:t xml:space="preserve">https://www.aihw.gov.au/our-services/data-on-request</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the AIHW publications can be directed to </w:t>
            </w:r>
            <w:hyperlink w:history="true" r:id="R104dedbe8c894ab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fb9d2163e3ab4e73">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updated for rebated households, that is, 69%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updated for rebated households, that is, 87% of all households.</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public housing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Income details are not updated for most non-rebated households.</w:t>
            </w:r>
          </w:p>
          <w:p>
            <w:pPr>
              <w:pStyle w:val="ListParagraph"/>
              <w:numPr>
                <w:ilvl w:val="0"/>
                <w:numId w:val="6"/>
              </w:numPr>
            </w:pPr>
            <w:r>
              <w:rPr>
                <w:rStyle w:val="row-content-rich-text"/>
              </w:rPr>
              <w:t xml:space="preserve">From April 2020, eligible applicants were registered for both the PH and SOMIH programs. These applicants are reported only in the SOMIH waitlist data.</w:t>
            </w:r>
          </w:p>
          <w:p>
            <w:pPr>
              <w:pStyle w:val="ListParagraph"/>
              <w:numPr>
                <w:ilvl w:val="0"/>
                <w:numId w:val="6"/>
              </w:numPr>
            </w:pPr>
            <w:r>
              <w:rPr>
                <w:rStyle w:val="row-content-rich-text"/>
              </w:rPr>
              <w:t xml:space="preserve">Housing SA did not supply the ‘dwelling history’ file for 2020–21,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2018–19,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 income measures produced prior to 2009–10 due to a change in methodology. From 2009–10 onwards, low income cut-offs were obtained from the biennial ABS Survey of Income and Housing (SIH). From 2018–19, low income cut-offs are based on 2017–18 SIH results. Care is required when comparing low 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The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1"/>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p>
          <w:p>
            <w:pPr>
              <w:spacing w:after="160"/>
            </w:pPr>
            <w:r>
              <w:rPr>
                <w:rStyle w:val="row-content-rich-text"/>
                <w:b/>
              </w:rPr>
              <w:t xml:space="preserve">South Australia</w:t>
            </w:r>
          </w:p>
          <w:p>
            <w:pPr>
              <w:pStyle w:val="ListParagraph"/>
              <w:numPr>
                <w:ilvl w:val="0"/>
                <w:numId w:val="12"/>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2"/>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SOMIH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can no longer distinguish between greatest need reasons. For greatest need households, greatest need reason is reported as homeless (code 1).</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spacing w:after="160"/>
            </w:pPr>
            <w:r>
              <w:rPr>
                <w:rStyle w:val="row-content-rich-text"/>
                <w:b/>
              </w:rPr>
              <w:t xml:space="preserve">Tasmania</w:t>
            </w:r>
          </w:p>
          <w:p>
            <w:pPr>
              <w:pStyle w:val="ListParagraph"/>
              <w:numPr>
                <w:ilvl w:val="0"/>
                <w:numId w:val="13"/>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3"/>
              </w:numPr>
            </w:pPr>
            <w:r>
              <w:rPr>
                <w:rStyle w:val="row-content-rich-text"/>
              </w:rPr>
              <w:t xml:space="preserve">In previous years, waitlist data included transfer applicants who were not on the housing register. From 2017–18 this is no longer the case but caution should be taken when comparing waitlist data to previous years.</w:t>
            </w:r>
          </w:p>
          <w:p>
            <w:pPr>
              <w:pStyle w:val="ListParagraph"/>
              <w:numPr>
                <w:ilvl w:val="0"/>
                <w:numId w:val="13"/>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4"/>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was provided in 2016–17. Unit record data were provided in 2017–18.</w:t>
            </w:r>
          </w:p>
          <w:p>
            <w:pPr>
              <w:pStyle w:val="ListParagraph"/>
              <w:numPr>
                <w:ilvl w:val="0"/>
                <w:numId w:val="14"/>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are reported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f0ad9bf5f4834">
              <w:r>
                <w:rPr>
                  <w:rStyle w:val="Hyperlink"/>
                </w:rPr>
                <w:t xml:space="preserve">State Owned and Managed Indigenous Housing Data Collection, 2019–20; Quality Statement</w:t>
              </w:r>
            </w:hyperlink>
          </w:p>
          <w:p>
            <w:pPr>
              <w:spacing w:before="0" w:after="0"/>
            </w:pPr>
            <w:r>
              <w:rPr>
                <w:rStyle w:val="row-content"/>
                <w:color w:val="244061"/>
              </w:rPr>
              <w:t xml:space="preserve">       </w:t>
            </w:r>
            <w:hyperlink w:history="true" r:id="R1c943121f74840a1">
              <w:r>
                <w:rPr>
                  <w:rStyle w:val="Hyperlink"/>
                  <w:color w:val="244061"/>
                </w:rPr>
                <w:t xml:space="preserve">AIHW Data Quality Statements</w:t>
              </w:r>
            </w:hyperlink>
            <w:r>
              <w:rPr>
                <w:rStyle w:val="row-content"/>
                <w:color w:val="244061"/>
              </w:rPr>
              <w:t xml:space="preserve">, Superseded 08/12/2021</w:t>
            </w:r>
          </w:p>
          <w:p>
            <w:r>
              <w:br/>
            </w:r>
            <w:r>
              <w:rPr>
                <w:rStyle w:val="row-content"/>
              </w:rPr>
              <w:t xml:space="preserve">Has been superseded by </w:t>
            </w:r>
            <w:hyperlink w:history="true" r:id="R4df283d7e1a04b78">
              <w:r>
                <w:rPr>
                  <w:rStyle w:val="Hyperlink"/>
                </w:rPr>
                <w:t xml:space="preserve">State Owned and Managed Indigenous Housing Data Collection, 2021–22; Quality Statement</w:t>
              </w:r>
            </w:hyperlink>
          </w:p>
          <w:p>
            <w:pPr>
              <w:spacing w:before="0" w:after="0"/>
            </w:pPr>
            <w:r>
              <w:rPr>
                <w:rStyle w:val="row-content"/>
                <w:color w:val="244061"/>
              </w:rPr>
              <w:t xml:space="preserve">       </w:t>
            </w:r>
            <w:hyperlink w:history="true" r:id="R996462671c0047b6">
              <w:r>
                <w:rPr>
                  <w:rStyle w:val="Hyperlink"/>
                  <w:color w:val="244061"/>
                </w:rPr>
                <w:t xml:space="preserve">AIHW Data Quality Statements</w:t>
              </w:r>
            </w:hyperlink>
            <w:r>
              <w:rPr>
                <w:rStyle w:val="row-content"/>
                <w:color w:val="244061"/>
              </w:rPr>
              <w:t xml:space="preserve">, Superseded 22/12/2023</w:t>
            </w:r>
          </w:p>
          <w:p>
            <w:r>
              <w:br/>
            </w:r>
          </w:p>
        </w:tc>
      </w:tr>
    </w:tbl>
    <w:p>
      <w:r>
        <w:br/>
      </w:r>
    </w:p>
    <w:sectPr>
      <w:footerReference xmlns:r="http://schemas.openxmlformats.org/officeDocument/2006/relationships" w:type="default" r:id="R2c5ca0b7454a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749353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db7d7441d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ca0b7454a4235" /><Relationship Type="http://schemas.openxmlformats.org/officeDocument/2006/relationships/header" Target="/word/header1.xml" Id="R17d91141bc50441e" /><Relationship Type="http://schemas.openxmlformats.org/officeDocument/2006/relationships/settings" Target="/word/settings.xml" Id="R0f256936b3e64e04" /><Relationship Type="http://schemas.openxmlformats.org/officeDocument/2006/relationships/styles" Target="/word/styles.xml" Id="R5093cf0cea0c4989" /><Relationship Type="http://schemas.openxmlformats.org/officeDocument/2006/relationships/hyperlink" Target="https://meteor.aihw.gov.au/RegistrationAuthority/5" TargetMode="External" Id="R20e4338836ee483c" /><Relationship Type="http://schemas.openxmlformats.org/officeDocument/2006/relationships/numbering" Target="/word/numbering.xml" Id="R2e8805e6b3fd4891" /><Relationship Type="http://schemas.openxmlformats.org/officeDocument/2006/relationships/hyperlink" Target="https://www.legislation.gov.au/Series/C2004A03450" TargetMode="External" Id="R58f49153eafa4ca4" /><Relationship Type="http://schemas.openxmlformats.org/officeDocument/2006/relationships/hyperlink" Target="https://www.aihw.gov.au/about-us/our-governance" TargetMode="External" Id="R5204d2075c494979" /><Relationship Type="http://schemas.openxmlformats.org/officeDocument/2006/relationships/hyperlink" Target="https://www.legislation.gov.au/Series/C2004A03712" TargetMode="External" Id="R6b9fa67069864643" /><Relationship Type="http://schemas.openxmlformats.org/officeDocument/2006/relationships/hyperlink" Target="https://www.aihw.gov.au/about-us" TargetMode="External" Id="R691f6faaecad42f3" /><Relationship Type="http://schemas.openxmlformats.org/officeDocument/2006/relationships/hyperlink" Target="https://www.aihw.gov.au/about-us/our-governance" TargetMode="External" Id="R3729fa5cf9d3480e" /><Relationship Type="http://schemas.openxmlformats.org/officeDocument/2006/relationships/hyperlink" Target="https://www.aihw.gov.au/about-us/our-vision-and-strategic-goals" TargetMode="External" Id="Rcd9450caae3c422e" /><Relationship Type="http://schemas.openxmlformats.org/officeDocument/2006/relationships/hyperlink" Target="https://www.aihw.gov.au/reports/housing-assistance/housing-assistance-in-australia/report-editions" TargetMode="External" Id="Rf361ff6c0b49494f" /><Relationship Type="http://schemas.openxmlformats.org/officeDocument/2006/relationships/hyperlink" Target="http://www.pc.gov.au/research/ongoing/report-on-government-services" TargetMode="External" Id="R897aff08201c48f9" /><Relationship Type="http://schemas.openxmlformats.org/officeDocument/2006/relationships/hyperlink" Target="https://www.aihw.gov.au/our-services/data-on-request" TargetMode="External" Id="R36be8a624e544863" /><Relationship Type="http://schemas.openxmlformats.org/officeDocument/2006/relationships/hyperlink" Target="mailto:info@aihw.gov.au" TargetMode="External" Id="R104dedbe8c894ab5" /><Relationship Type="http://schemas.openxmlformats.org/officeDocument/2006/relationships/hyperlink" Target="https://meteor.aihw.gov.au/content/711016" TargetMode="External" Id="Rfb9d2163e3ab4e73" /><Relationship Type="http://schemas.openxmlformats.org/officeDocument/2006/relationships/hyperlink" Target="https://meteor.aihw.gov.au/content/731016" TargetMode="External" Id="R185f0ad9bf5f4834" /><Relationship Type="http://schemas.openxmlformats.org/officeDocument/2006/relationships/hyperlink" Target="https://meteor.aihw.gov.au/RegistrationAuthority/5" TargetMode="External" Id="R1c943121f74840a1" /><Relationship Type="http://schemas.openxmlformats.org/officeDocument/2006/relationships/hyperlink" Target="https://meteor.aihw.gov.au/content/762187" TargetMode="External" Id="R4df283d7e1a04b78" /><Relationship Type="http://schemas.openxmlformats.org/officeDocument/2006/relationships/hyperlink" Target="https://meteor.aihw.gov.au/RegistrationAuthority/5" TargetMode="External" Id="R996462671c0047b6" /></Relationships>
</file>

<file path=word/_rels/header1.xml.rels>&#65279;<?xml version="1.0" encoding="utf-8"?><Relationships xmlns="http://schemas.openxmlformats.org/package/2006/relationships"><Relationship Type="http://schemas.openxmlformats.org/officeDocument/2006/relationships/image" Target="/media/image.png" Id="Re5bdb7d7441d44b3" /></Relationships>
</file>