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078b8b421547c3"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938834eaa4649">
              <w:r>
                <w:rPr>
                  <w:rStyle w:val="Hyperlink"/>
                  <w:color w:val="244061"/>
                </w:rPr>
                <w:t xml:space="preserve">AIHW Data Quality Statements</w:t>
              </w:r>
            </w:hyperlink>
            <w:r>
              <w:rPr>
                <w:rStyle w:val="row-content"/>
                <w:color w:val="244061"/>
              </w:rPr>
              <w:t xml:space="preserve">, Superseded 13/12/2023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2021 National Social Housing Survey (NSHS) collects information from tenants of three social housing programs—public housing (PH), community housing (CH) and state owned and managed Indigenous housing (SOMIH).</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2021 survey was 26%; for face-to-face it was 52%.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b067548da2b4d95">
              <w:r>
                <w:rPr>
                  <w:rStyle w:val="Hyperlink"/>
                  <w:i/>
                </w:rPr>
                <w:t xml:space="preserve">Australian Institute of Health and Welfare Act 1987</w:t>
              </w:r>
            </w:hyperlink>
            <w:r>
              <w:rPr>
                <w:rStyle w:val="row-content-rich-text"/>
              </w:rPr>
              <w:t xml:space="preserve"> (AIHW Act), governed by a </w:t>
            </w:r>
            <w:hyperlink w:history="true" r:id="R40c19ecb1383451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d59ee85ea9b4d61">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e7335be7a3c4076">
              <w:r>
                <w:rPr>
                  <w:rStyle w:val="Hyperlink"/>
                </w:rPr>
                <w:t xml:space="preserve">https://www.aihw.gov.au/about-us</w:t>
              </w:r>
            </w:hyperlink>
            <w:r>
              <w:rPr>
                <w:rStyle w:val="row-content-rich-text"/>
              </w:rPr>
              <w:t xml:space="preserve">, which includes details about the AIHW's governance (</w:t>
            </w:r>
            <w:hyperlink w:history="true" r:id="Rea7d6cfdbc3a4369">
              <w:r>
                <w:rPr>
                  <w:rStyle w:val="Hyperlink"/>
                </w:rPr>
                <w:t xml:space="preserve">https://www.aihw.gov.au/about-us/our-governance</w:t>
              </w:r>
            </w:hyperlink>
            <w:r>
              <w:rPr>
                <w:rStyle w:val="row-content-rich-text"/>
              </w:rPr>
              <w:t xml:space="preserve">) and vision and strategic goals (</w:t>
            </w:r>
            <w:hyperlink w:history="true" r:id="R6f66f8d44eb74f5d">
              <w:r>
                <w:rPr>
                  <w:rStyle w:val="Hyperlink"/>
                </w:rPr>
                <w:t xml:space="preserve">https://www.aihw.gov.au/about-us/our-vision-and-strategic-goals</w:t>
              </w:r>
            </w:hyperlink>
            <w:r>
              <w:rPr>
                <w:rStyle w:val="row-content-rich-text"/>
              </w:rPr>
              <w:t xml:space="preserve">).</w:t>
            </w:r>
          </w:p>
          <w:p>
            <w:pPr/>
            <w:r>
              <w:rPr>
                <w:rStyle w:val="row-content-rich-text"/>
              </w:rPr>
              <w:t xml:space="preserve">The 2021 NSHS was managed jointly by the AIHW and states and territories. Lonergan Research undertook the fieldwork on behalf of the AIHW and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2018 and 2021. Surveys for SOMIH were conducted in 2005, 2007, 2012, 2014, 2016, 2018 and 2021. A survey for Indigenous community housing was conducted for Queensland in 2018.</w:t>
            </w:r>
          </w:p>
          <w:p>
            <w:pPr>
              <w:spacing w:after="160"/>
            </w:pPr>
            <w:r>
              <w:rPr>
                <w:rStyle w:val="row-content-rich-text"/>
              </w:rPr>
              <w:t xml:space="preserve">The 2021 fieldwork for the combined mail-out/online components was conducted from 30 March to 28 June for the Australian Capital Territory and from 30 March to 14 September for all other jurisdictions. Fieldwork for the SOMIH face-to-face component was undertaken in New South Wales from 10 April to 17 May.</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2021 NSHS will be available on the AIHW website (</w:t>
            </w:r>
            <w:hyperlink w:history="true" r:id="R0c7848632aa24d13">
              <w:r>
                <w:rPr>
                  <w:rStyle w:val="Hyperlink"/>
                </w:rPr>
                <w:t xml:space="preserve">Housing assistance</w:t>
              </w:r>
            </w:hyperlink>
            <w:r>
              <w:rPr>
                <w:rStyle w:val="row-content-rich-text"/>
              </w:rPr>
              <w:t xml:space="preserve">), and the Productivity Commission’s annual </w:t>
            </w:r>
            <w:hyperlink w:history="true" r:id="R137c31e8cf0245bb">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disaggregations of data which are not available online or in reports (subject to the AIHW’s confidentiality policy) via the AIHW’s online customised data request system at: </w:t>
            </w:r>
            <w:hyperlink w:history="true" r:id="R5ac1e7ccbe39491f">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AIHW publications can be directed to </w:t>
            </w:r>
            <w:hyperlink w:history="true" r:id="Reb800a91b9274bc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2021 NSHS results will be available on the AIHW website including the 2021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2021 NSHS was conducted among tenants from PH (all jurisdictions), CH (all jurisdictions except the Northern Territory) and SOMIH (New South Wales, Queensland, South Australia and Tasmania).</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three jurisdictions (Queensland, South Australia and Tasmania) and face-to-face interview in the other jurisdiction (New South Wales).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p>
          <w:p>
            <w:pPr>
              <w:spacing w:after="160"/>
            </w:pPr>
            <w:r>
              <w:rPr>
                <w:rStyle w:val="row-content-rich-text"/>
              </w:rPr>
              <w:t xml:space="preserve">Response rates are a key factor contributing to the accuracy of estimates produced from the 2021 NSHS. Higher response rates often lead to estimates that are more accurate.</w:t>
            </w:r>
          </w:p>
          <w:p>
            <w:pPr>
              <w:spacing w:after="160"/>
            </w:pPr>
            <w:r>
              <w:rPr>
                <w:rStyle w:val="row-content-rich-text"/>
              </w:rPr>
              <w:t xml:space="preserve">For PH, CH and SOMIH (Queensland, South Australia and Tasmania only), 34,844 questionnaires were sent to tenants using the combined mail-out/online approach. Of these, 8,443 responses were categorised as being complete and useable (3,130 online responses and 5,313 paper responses). The 2021 response rate for the combined mail-out/online approach was 26% (9 percentage points lower than in 2018).</w:t>
            </w:r>
          </w:p>
          <w:p>
            <w:pPr>
              <w:spacing w:after="160"/>
            </w:pPr>
            <w:r>
              <w:rPr>
                <w:rStyle w:val="row-content-rich-text"/>
              </w:rPr>
              <w:t xml:space="preserve">In 2021, 37% of all surveys were completed online—higher than the 2018 online proportion of 32%.</w:t>
            </w:r>
          </w:p>
          <w:p>
            <w:pPr>
              <w:spacing w:after="160"/>
            </w:pPr>
            <w:r>
              <w:rPr>
                <w:rStyle w:val="row-content-rich-text"/>
              </w:rPr>
              <w:t xml:space="preserve">For the jurisdiction where SOMIH tenants completed the survey face-to-face (New South Wales), 1,021 interviews were attempted and 533 completed, with an overall response rate of 52%.</w:t>
            </w:r>
          </w:p>
          <w:p>
            <w:pPr>
              <w:spacing w:after="160"/>
            </w:pPr>
            <w:r>
              <w:rPr>
                <w:rStyle w:val="row-content-rich-text"/>
              </w:rPr>
              <w:t xml:space="preserve">The 2021 response rates varied across jurisdictions (see Table 1).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1: Response rate, by program type and jurisdiction, 2021</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400" w:type="pct"/>
                  <w:vAlign w:val="top"/>
                </w:tcPr>
                <w:p>
                  <w:r>
                    <w:rPr>
                      <w:b/>
                    </w:rPr>
                    <w:t xml:space="preserve">Total responses</w:t>
                  </w:r>
                </w:p>
              </w:tc>
              <w:tc>
                <w:tcPr>
                  <w:tcW w:w="1050" w:type="pct"/>
                  <w:vAlign w:val="top"/>
                </w:tcPr>
                <w:p>
                  <w:r>
                    <w:rPr>
                      <w:b/>
                    </w:rPr>
                    <w:t xml:space="preserve">Response rate (%)</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400" w:type="pct"/>
                  <w:vAlign w:val="top"/>
                </w:tcPr>
                <w:p>
                  <w:r>
                    <w:t xml:space="preserve">487</w:t>
                  </w:r>
                </w:p>
              </w:tc>
              <w:tc>
                <w:tcPr>
                  <w:tcW w:w="1050" w:type="pct"/>
                  <w:vAlign w:val="top"/>
                </w:tcPr>
                <w:p>
                  <w:r>
                    <w:t xml:space="preserve">19</w:t>
                  </w:r>
                </w:p>
              </w:tc>
            </w:tr>
            <w:tr>
              <w:trPr/>
              <w:tc>
                <w:tcPr>
                  <w:tcW w:w="2500" w:type="pct"/>
                  <w:vAlign w:val="top"/>
                </w:tcPr>
                <w:p>
                  <w:r>
                    <w:t xml:space="preserve">Vic</w:t>
                  </w:r>
                </w:p>
              </w:tc>
              <w:tc>
                <w:tcPr>
                  <w:tcW w:w="1400" w:type="pct"/>
                  <w:vAlign w:val="top"/>
                </w:tcPr>
                <w:p>
                  <w:r>
                    <w:t xml:space="preserve">475</w:t>
                  </w:r>
                </w:p>
              </w:tc>
              <w:tc>
                <w:tcPr>
                  <w:tcW w:w="1050" w:type="pct"/>
                  <w:vAlign w:val="top"/>
                </w:tcPr>
                <w:p>
                  <w:r>
                    <w:t xml:space="preserve">21</w:t>
                  </w:r>
                </w:p>
              </w:tc>
            </w:tr>
            <w:tr>
              <w:trPr/>
              <w:tc>
                <w:tcPr>
                  <w:tcW w:w="2500" w:type="pct"/>
                  <w:vAlign w:val="top"/>
                </w:tcPr>
                <w:p>
                  <w:r>
                    <w:t xml:space="preserve">Qld</w:t>
                  </w:r>
                </w:p>
              </w:tc>
              <w:tc>
                <w:tcPr>
                  <w:tcW w:w="1400" w:type="pct"/>
                  <w:vAlign w:val="top"/>
                </w:tcPr>
                <w:p>
                  <w:r>
                    <w:t xml:space="preserve">949</w:t>
                  </w:r>
                </w:p>
              </w:tc>
              <w:tc>
                <w:tcPr>
                  <w:tcW w:w="1050" w:type="pct"/>
                  <w:vAlign w:val="top"/>
                </w:tcPr>
                <w:p>
                  <w:r>
                    <w:t xml:space="preserve">28</w:t>
                  </w:r>
                </w:p>
              </w:tc>
            </w:tr>
            <w:tr>
              <w:trPr/>
              <w:tc>
                <w:tcPr>
                  <w:tcW w:w="2500" w:type="pct"/>
                  <w:vAlign w:val="top"/>
                </w:tcPr>
                <w:p>
                  <w:r>
                    <w:t xml:space="preserve">WA</w:t>
                  </w:r>
                </w:p>
              </w:tc>
              <w:tc>
                <w:tcPr>
                  <w:tcW w:w="1400" w:type="pct"/>
                  <w:vAlign w:val="top"/>
                </w:tcPr>
                <w:p>
                  <w:r>
                    <w:t xml:space="preserve">513</w:t>
                  </w:r>
                </w:p>
              </w:tc>
              <w:tc>
                <w:tcPr>
                  <w:tcW w:w="1050" w:type="pct"/>
                  <w:vAlign w:val="top"/>
                </w:tcPr>
                <w:p>
                  <w:r>
                    <w:t xml:space="preserve">31</w:t>
                  </w:r>
                </w:p>
              </w:tc>
            </w:tr>
            <w:tr>
              <w:trPr/>
              <w:tc>
                <w:tcPr>
                  <w:tcW w:w="2500" w:type="pct"/>
                  <w:vAlign w:val="top"/>
                </w:tcPr>
                <w:p>
                  <w:r>
                    <w:t xml:space="preserve">SA</w:t>
                  </w:r>
                </w:p>
              </w:tc>
              <w:tc>
                <w:tcPr>
                  <w:tcW w:w="1400" w:type="pct"/>
                  <w:vAlign w:val="top"/>
                </w:tcPr>
                <w:p>
                  <w:r>
                    <w:t xml:space="preserve">561</w:t>
                  </w:r>
                </w:p>
              </w:tc>
              <w:tc>
                <w:tcPr>
                  <w:tcW w:w="1050" w:type="pct"/>
                  <w:vAlign w:val="top"/>
                </w:tcPr>
                <w:p>
                  <w:r>
                    <w:t xml:space="preserve">45</w:t>
                  </w:r>
                </w:p>
              </w:tc>
            </w:tr>
            <w:tr>
              <w:trPr/>
              <w:tc>
                <w:tcPr>
                  <w:tcW w:w="2500" w:type="pct"/>
                  <w:vAlign w:val="top"/>
                </w:tcPr>
                <w:p>
                  <w:r>
                    <w:t xml:space="preserve">Tas</w:t>
                  </w:r>
                </w:p>
              </w:tc>
              <w:tc>
                <w:tcPr>
                  <w:tcW w:w="1400" w:type="pct"/>
                  <w:vAlign w:val="top"/>
                </w:tcPr>
                <w:p>
                  <w:r>
                    <w:t xml:space="preserve">517</w:t>
                  </w:r>
                </w:p>
              </w:tc>
              <w:tc>
                <w:tcPr>
                  <w:tcW w:w="1050" w:type="pct"/>
                  <w:vAlign w:val="top"/>
                </w:tcPr>
                <w:p>
                  <w:r>
                    <w:t xml:space="preserve">32</w:t>
                  </w:r>
                </w:p>
              </w:tc>
            </w:tr>
            <w:tr>
              <w:trPr/>
              <w:tc>
                <w:tcPr>
                  <w:tcW w:w="2500" w:type="pct"/>
                  <w:vAlign w:val="top"/>
                </w:tcPr>
                <w:p>
                  <w:r>
                    <w:t xml:space="preserve">ACT</w:t>
                  </w:r>
                </w:p>
              </w:tc>
              <w:tc>
                <w:tcPr>
                  <w:tcW w:w="1400" w:type="pct"/>
                  <w:vAlign w:val="top"/>
                </w:tcPr>
                <w:p>
                  <w:r>
                    <w:t xml:space="preserve">583</w:t>
                  </w:r>
                </w:p>
              </w:tc>
              <w:tc>
                <w:tcPr>
                  <w:tcW w:w="1050" w:type="pct"/>
                  <w:vAlign w:val="top"/>
                </w:tcPr>
                <w:p>
                  <w:r>
                    <w:t xml:space="preserve">32</w:t>
                  </w:r>
                </w:p>
              </w:tc>
            </w:tr>
            <w:tr>
              <w:trPr/>
              <w:tc>
                <w:tcPr>
                  <w:tcW w:w="2500" w:type="pct"/>
                  <w:vAlign w:val="top"/>
                </w:tcPr>
                <w:p>
                  <w:r>
                    <w:t xml:space="preserve">NT</w:t>
                  </w:r>
                </w:p>
              </w:tc>
              <w:tc>
                <w:tcPr>
                  <w:tcW w:w="1400" w:type="pct"/>
                  <w:vAlign w:val="top"/>
                </w:tcPr>
                <w:p>
                  <w:r>
                    <w:t xml:space="preserve">471</w:t>
                  </w:r>
                </w:p>
              </w:tc>
              <w:tc>
                <w:tcPr>
                  <w:tcW w:w="1050" w:type="pct"/>
                  <w:vAlign w:val="top"/>
                </w:tcPr>
                <w:p>
                  <w:r>
                    <w:t xml:space="preserve">20</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400" w:type="pct"/>
                  <w:vAlign w:val="top"/>
                </w:tcPr>
                <w:p>
                  <w:r>
                    <w:t xml:space="preserve">564</w:t>
                  </w:r>
                </w:p>
              </w:tc>
              <w:tc>
                <w:tcPr>
                  <w:tcW w:w="1050" w:type="pct"/>
                  <w:vAlign w:val="top"/>
                </w:tcPr>
                <w:p>
                  <w:r>
                    <w:t xml:space="preserve">23</w:t>
                  </w:r>
                </w:p>
              </w:tc>
            </w:tr>
            <w:tr>
              <w:trPr/>
              <w:tc>
                <w:tcPr>
                  <w:tcW w:w="2500" w:type="pct"/>
                  <w:vAlign w:val="top"/>
                </w:tcPr>
                <w:p>
                  <w:r>
                    <w:t xml:space="preserve">Vic</w:t>
                  </w:r>
                </w:p>
              </w:tc>
              <w:tc>
                <w:tcPr>
                  <w:tcW w:w="1400" w:type="pct"/>
                  <w:vAlign w:val="top"/>
                </w:tcPr>
                <w:p>
                  <w:r>
                    <w:t xml:space="preserve">350</w:t>
                  </w:r>
                </w:p>
              </w:tc>
              <w:tc>
                <w:tcPr>
                  <w:tcW w:w="1050" w:type="pct"/>
                  <w:vAlign w:val="top"/>
                </w:tcPr>
                <w:p>
                  <w:r>
                    <w:t xml:space="preserve">25</w:t>
                  </w:r>
                </w:p>
              </w:tc>
            </w:tr>
            <w:tr>
              <w:trPr/>
              <w:tc>
                <w:tcPr>
                  <w:tcW w:w="2500" w:type="pct"/>
                  <w:vAlign w:val="top"/>
                </w:tcPr>
                <w:p>
                  <w:r>
                    <w:t xml:space="preserve">Qld</w:t>
                  </w:r>
                </w:p>
              </w:tc>
              <w:tc>
                <w:tcPr>
                  <w:tcW w:w="1400" w:type="pct"/>
                  <w:vAlign w:val="top"/>
                </w:tcPr>
                <w:p>
                  <w:r>
                    <w:t xml:space="preserve">509</w:t>
                  </w:r>
                </w:p>
              </w:tc>
              <w:tc>
                <w:tcPr>
                  <w:tcW w:w="1050" w:type="pct"/>
                  <w:vAlign w:val="top"/>
                </w:tcPr>
                <w:p>
                  <w:r>
                    <w:t xml:space="preserve">26</w:t>
                  </w:r>
                </w:p>
              </w:tc>
            </w:tr>
            <w:tr>
              <w:trPr/>
              <w:tc>
                <w:tcPr>
                  <w:tcW w:w="2500" w:type="pct"/>
                  <w:vAlign w:val="top"/>
                </w:tcPr>
                <w:p>
                  <w:r>
                    <w:t xml:space="preserve">WA</w:t>
                  </w:r>
                </w:p>
              </w:tc>
              <w:tc>
                <w:tcPr>
                  <w:tcW w:w="1400" w:type="pct"/>
                  <w:vAlign w:val="top"/>
                </w:tcPr>
                <w:p>
                  <w:r>
                    <w:t xml:space="preserve">443</w:t>
                  </w:r>
                </w:p>
              </w:tc>
              <w:tc>
                <w:tcPr>
                  <w:tcW w:w="1050" w:type="pct"/>
                  <w:vAlign w:val="top"/>
                </w:tcPr>
                <w:p>
                  <w:r>
                    <w:t xml:space="preserve">32</w:t>
                  </w:r>
                </w:p>
              </w:tc>
            </w:tr>
            <w:tr>
              <w:trPr/>
              <w:tc>
                <w:tcPr>
                  <w:tcW w:w="2500" w:type="pct"/>
                  <w:vAlign w:val="top"/>
                </w:tcPr>
                <w:p>
                  <w:r>
                    <w:t xml:space="preserve">SA</w:t>
                  </w:r>
                </w:p>
              </w:tc>
              <w:tc>
                <w:tcPr>
                  <w:tcW w:w="1400" w:type="pct"/>
                  <w:vAlign w:val="top"/>
                </w:tcPr>
                <w:p>
                  <w:r>
                    <w:t xml:space="preserve">677</w:t>
                  </w:r>
                </w:p>
              </w:tc>
              <w:tc>
                <w:tcPr>
                  <w:tcW w:w="1050" w:type="pct"/>
                  <w:vAlign w:val="top"/>
                </w:tcPr>
                <w:p>
                  <w:r>
                    <w:t xml:space="preserve">29</w:t>
                  </w:r>
                </w:p>
              </w:tc>
            </w:tr>
            <w:tr>
              <w:trPr/>
              <w:tc>
                <w:tcPr>
                  <w:tcW w:w="2500" w:type="pct"/>
                  <w:vAlign w:val="top"/>
                </w:tcPr>
                <w:p>
                  <w:r>
                    <w:t xml:space="preserve">Tas</w:t>
                  </w:r>
                </w:p>
              </w:tc>
              <w:tc>
                <w:tcPr>
                  <w:tcW w:w="1400" w:type="pct"/>
                  <w:vAlign w:val="top"/>
                </w:tcPr>
                <w:p>
                  <w:r>
                    <w:t xml:space="preserve">342</w:t>
                  </w:r>
                </w:p>
              </w:tc>
              <w:tc>
                <w:tcPr>
                  <w:tcW w:w="1050" w:type="pct"/>
                  <w:vAlign w:val="top"/>
                </w:tcPr>
                <w:p>
                  <w:r>
                    <w:t xml:space="preserve">28</w:t>
                  </w:r>
                </w:p>
              </w:tc>
            </w:tr>
            <w:tr>
              <w:trPr/>
              <w:tc>
                <w:tcPr>
                  <w:tcW w:w="2500" w:type="pct"/>
                  <w:vAlign w:val="top"/>
                </w:tcPr>
                <w:p>
                  <w:r>
                    <w:t xml:space="preserve">ACT</w:t>
                  </w:r>
                </w:p>
              </w:tc>
              <w:tc>
                <w:tcPr>
                  <w:tcW w:w="1400" w:type="pct"/>
                  <w:vAlign w:val="top"/>
                </w:tcPr>
                <w:p>
                  <w:r>
                    <w:t xml:space="preserve">201</w:t>
                  </w:r>
                </w:p>
              </w:tc>
              <w:tc>
                <w:tcPr>
                  <w:tcW w:w="1050" w:type="pct"/>
                  <w:vAlign w:val="top"/>
                </w:tcPr>
                <w:p>
                  <w:r>
                    <w:t xml:space="preserve">27</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400" w:type="pct"/>
                  <w:vAlign w:val="top"/>
                </w:tcPr>
                <w:p>
                  <w:r>
                    <w:t xml:space="preserve">533</w:t>
                  </w:r>
                </w:p>
              </w:tc>
              <w:tc>
                <w:tcPr>
                  <w:tcW w:w="1050" w:type="pct"/>
                  <w:vAlign w:val="top"/>
                </w:tcPr>
                <w:p>
                  <w:r>
                    <w:t xml:space="preserve">53</w:t>
                  </w:r>
                </w:p>
              </w:tc>
            </w:tr>
            <w:tr>
              <w:trPr/>
              <w:tc>
                <w:tcPr>
                  <w:tcW w:w="2500" w:type="pct"/>
                  <w:vAlign w:val="top"/>
                </w:tcPr>
                <w:p>
                  <w:r>
                    <w:t xml:space="preserve">Qld</w:t>
                  </w:r>
                </w:p>
              </w:tc>
              <w:tc>
                <w:tcPr>
                  <w:tcW w:w="1400" w:type="pct"/>
                  <w:vAlign w:val="top"/>
                </w:tcPr>
                <w:p>
                  <w:r>
                    <w:t xml:space="preserve">522</w:t>
                  </w:r>
                </w:p>
              </w:tc>
              <w:tc>
                <w:tcPr>
                  <w:tcW w:w="1050" w:type="pct"/>
                  <w:vAlign w:val="top"/>
                </w:tcPr>
                <w:p>
                  <w:r>
                    <w:t xml:space="preserve">20</w:t>
                  </w:r>
                </w:p>
              </w:tc>
            </w:tr>
            <w:tr>
              <w:trPr/>
              <w:tc>
                <w:tcPr>
                  <w:tcW w:w="2500" w:type="pct"/>
                  <w:vAlign w:val="top"/>
                </w:tcPr>
                <w:p>
                  <w:r>
                    <w:t xml:space="preserve">SA</w:t>
                  </w:r>
                </w:p>
              </w:tc>
              <w:tc>
                <w:tcPr>
                  <w:tcW w:w="1400" w:type="pct"/>
                  <w:vAlign w:val="top"/>
                </w:tcPr>
                <w:p>
                  <w:r>
                    <w:t xml:space="preserve">263</w:t>
                  </w:r>
                </w:p>
              </w:tc>
              <w:tc>
                <w:tcPr>
                  <w:tcW w:w="1050" w:type="pct"/>
                  <w:vAlign w:val="top"/>
                </w:tcPr>
                <w:p>
                  <w:r>
                    <w:t xml:space="preserve">21</w:t>
                  </w:r>
                </w:p>
              </w:tc>
            </w:tr>
            <w:tr>
              <w:trPr/>
              <w:tc>
                <w:tcPr>
                  <w:tcW w:w="2500" w:type="pct"/>
                  <w:vAlign w:val="top"/>
                </w:tcPr>
                <w:p>
                  <w:r>
                    <w:t xml:space="preserve">Tas</w:t>
                  </w:r>
                </w:p>
              </w:tc>
              <w:tc>
                <w:tcPr>
                  <w:tcW w:w="1400" w:type="pct"/>
                  <w:vAlign w:val="top"/>
                </w:tcPr>
                <w:p>
                  <w:r>
                    <w:t xml:space="preserve">52</w:t>
                  </w:r>
                </w:p>
              </w:tc>
              <w:tc>
                <w:tcPr>
                  <w:tcW w:w="1050" w:type="pct"/>
                  <w:vAlign w:val="top"/>
                </w:tcPr>
                <w:p>
                  <w:r>
                    <w:t xml:space="preserve">24</w:t>
                  </w:r>
                </w:p>
              </w:tc>
            </w:tr>
          </w:tbl>
          <w:p>
            <w:r>
              <w:rPr>
                <w:b/>
              </w:rPr>
              <w:t xml:space="preserve">Scope and coverage</w:t>
            </w:r>
          </w:p>
          <w:p>
            <w:r>
              <w:t xml:space="preserve">The 2021 NSHS was designed to meet minimum reliability objectives for key variables for each participating jurisdiction/housing program.</w:t>
            </w:r>
          </w:p>
          <w:p>
            <w:r>
              <w:rPr>
                <w:b/>
              </w:rPr>
              <w:t xml:space="preserve">Sample design</w:t>
            </w:r>
          </w:p>
          <w:p>
            <w:r>
              <w:t xml:space="preserve">Stratified sampling was undertaken to reduce sampling error and maximise the chance that jurisdiction/housing program sample targets were met.</w:t>
            </w:r>
          </w:p>
          <w:p>
            <w:r>
              <w:t xml:space="preserve">In 2021, minimum sample quotas were employed for remoteness-based strata. This will improve the reliability of estimates for some of the jurisdiction/housing program/remoteness-based populations that have smaller populations.</w:t>
            </w:r>
          </w:p>
          <w:p>
            <w:r>
              <w:t xml:space="preserve">Quotas were set for each jurisdiction/housing program strata (see Table 2). After the initial mail-out, booster samples were lodged (see Table 2).</w:t>
            </w:r>
          </w:p>
          <w:p>
            <w:r>
              <w:rPr>
                <w:b/>
              </w:rPr>
              <w:t xml:space="preserve">Table 2: Quotas and booster samples, by program type and jurisdiction, 2021</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r>
                    <w:rPr>
                      <w:b/>
                    </w:rPr>
                    <w:t xml:space="preserve">Program/Jurisdiction</w:t>
                  </w:r>
                </w:p>
              </w:tc>
              <w:tc>
                <w:tcPr>
                  <w:tcW w:w="1250" w:type="pct"/>
                  <w:vAlign w:val="top"/>
                </w:tcPr>
                <w:p>
                  <w:r>
                    <w:rPr>
                      <w:b/>
                    </w:rPr>
                    <w:t xml:space="preserve">Quota</w:t>
                  </w:r>
                </w:p>
              </w:tc>
              <w:tc>
                <w:tcPr>
                  <w:tcW w:w="1200" w:type="pct"/>
                  <w:vAlign w:val="top"/>
                </w:tcPr>
                <w:p>
                  <w:r>
                    <w:rPr>
                      <w:b/>
                    </w:rPr>
                    <w:t xml:space="preserve">Booster</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250" w:type="pct"/>
                  <w:vAlign w:val="top"/>
                </w:tcPr>
                <w:p>
                  <w:r>
                    <w:t xml:space="preserve">500</w:t>
                  </w:r>
                </w:p>
              </w:tc>
              <w:tc>
                <w:tcPr>
                  <w:tcW w:w="1200" w:type="pct"/>
                  <w:vAlign w:val="top"/>
                </w:tcPr>
                <w:p>
                  <w:r>
                    <w:t xml:space="preserve">1,360</w:t>
                  </w:r>
                </w:p>
              </w:tc>
            </w:tr>
            <w:tr>
              <w:trPr/>
              <w:tc>
                <w:tcPr>
                  <w:tcW w:w="2500" w:type="pct"/>
                  <w:vAlign w:val="top"/>
                </w:tcPr>
                <w:p>
                  <w:r>
                    <w:t xml:space="preserve">Vic</w:t>
                  </w:r>
                </w:p>
              </w:tc>
              <w:tc>
                <w:tcPr>
                  <w:tcW w:w="1250" w:type="pct"/>
                  <w:vAlign w:val="top"/>
                </w:tcPr>
                <w:p>
                  <w:r>
                    <w:t xml:space="preserve">500</w:t>
                  </w:r>
                </w:p>
              </w:tc>
              <w:tc>
                <w:tcPr>
                  <w:tcW w:w="1200" w:type="pct"/>
                  <w:vAlign w:val="top"/>
                </w:tcPr>
                <w:p>
                  <w:r>
                    <w:t xml:space="preserve">859</w:t>
                  </w:r>
                </w:p>
              </w:tc>
            </w:tr>
            <w:tr>
              <w:trPr/>
              <w:tc>
                <w:tcPr>
                  <w:tcW w:w="2500" w:type="pct"/>
                  <w:vAlign w:val="top"/>
                </w:tcPr>
                <w:p>
                  <w:r>
                    <w:t xml:space="preserve">Qld</w:t>
                  </w:r>
                </w:p>
              </w:tc>
              <w:tc>
                <w:tcPr>
                  <w:tcW w:w="1250" w:type="pct"/>
                  <w:vAlign w:val="top"/>
                </w:tcPr>
                <w:p>
                  <w:r>
                    <w:t xml:space="preserve">1,000</w:t>
                  </w:r>
                </w:p>
              </w:tc>
              <w:tc>
                <w:tcPr>
                  <w:tcW w:w="1200" w:type="pct"/>
                  <w:vAlign w:val="top"/>
                </w:tcPr>
                <w:p>
                  <w:r>
                    <w:t xml:space="preserve">599</w:t>
                  </w:r>
                </w:p>
              </w:tc>
            </w:tr>
            <w:tr>
              <w:trPr/>
              <w:tc>
                <w:tcPr>
                  <w:tcW w:w="2500" w:type="pct"/>
                  <w:vAlign w:val="top"/>
                </w:tcPr>
                <w:p>
                  <w:r>
                    <w:t xml:space="preserve">WA</w:t>
                  </w:r>
                </w:p>
              </w:tc>
              <w:tc>
                <w:tcPr>
                  <w:tcW w:w="1250" w:type="pct"/>
                  <w:vAlign w:val="top"/>
                </w:tcPr>
                <w:p>
                  <w:r>
                    <w:t xml:space="preserve">500</w:t>
                  </w:r>
                </w:p>
              </w:tc>
              <w:tc>
                <w:tcPr>
                  <w:tcW w:w="1200" w:type="pct"/>
                  <w:vAlign w:val="top"/>
                </w:tcPr>
                <w:p>
                  <w:r>
                    <w:t xml:space="preserve">211</w:t>
                  </w:r>
                </w:p>
              </w:tc>
            </w:tr>
            <w:tr>
              <w:trPr/>
              <w:tc>
                <w:tcPr>
                  <w:tcW w:w="2500" w:type="pct"/>
                  <w:vAlign w:val="top"/>
                </w:tcPr>
                <w:p>
                  <w:r>
                    <w:t xml:space="preserve">SA</w:t>
                  </w:r>
                </w:p>
              </w:tc>
              <w:tc>
                <w:tcPr>
                  <w:tcW w:w="1250" w:type="pct"/>
                  <w:vAlign w:val="top"/>
                </w:tcPr>
                <w:p>
                  <w:r>
                    <w:t xml:space="preserve">500</w:t>
                  </w:r>
                </w:p>
              </w:tc>
              <w:tc>
                <w:tcPr>
                  <w:tcW w:w="1200" w:type="pct"/>
                  <w:vAlign w:val="top"/>
                </w:tcPr>
                <w:p>
                  <w:r>
                    <w:t xml:space="preserve">*</w:t>
                  </w:r>
                </w:p>
              </w:tc>
            </w:tr>
            <w:tr>
              <w:trPr/>
              <w:tc>
                <w:tcPr>
                  <w:tcW w:w="2500" w:type="pct"/>
                  <w:vAlign w:val="top"/>
                </w:tcPr>
                <w:p>
                  <w:r>
                    <w:t xml:space="preserve">Tas</w:t>
                  </w:r>
                </w:p>
              </w:tc>
              <w:tc>
                <w:tcPr>
                  <w:tcW w:w="1250" w:type="pct"/>
                  <w:vAlign w:val="top"/>
                </w:tcPr>
                <w:p>
                  <w:r>
                    <w:t xml:space="preserve">500</w:t>
                  </w:r>
                </w:p>
              </w:tc>
              <w:tc>
                <w:tcPr>
                  <w:tcW w:w="1200" w:type="pct"/>
                  <w:vAlign w:val="top"/>
                </w:tcPr>
                <w:p>
                  <w:r>
                    <w:t xml:space="preserve">296</w:t>
                  </w:r>
                </w:p>
              </w:tc>
            </w:tr>
            <w:tr>
              <w:trPr/>
              <w:tc>
                <w:tcPr>
                  <w:tcW w:w="2500" w:type="pct"/>
                  <w:vAlign w:val="top"/>
                </w:tcPr>
                <w:p>
                  <w:r>
                    <w:t xml:space="preserve">ACT</w:t>
                  </w:r>
                </w:p>
              </w:tc>
              <w:tc>
                <w:tcPr>
                  <w:tcW w:w="1250" w:type="pct"/>
                  <w:vAlign w:val="top"/>
                </w:tcPr>
                <w:p>
                  <w:r>
                    <w:t xml:space="preserve">500</w:t>
                  </w:r>
                </w:p>
              </w:tc>
              <w:tc>
                <w:tcPr>
                  <w:tcW w:w="1200" w:type="pct"/>
                  <w:vAlign w:val="top"/>
                </w:tcPr>
                <w:p>
                  <w:r>
                    <w:t xml:space="preserve">250</w:t>
                  </w:r>
                </w:p>
              </w:tc>
            </w:tr>
            <w:tr>
              <w:trPr/>
              <w:tc>
                <w:tcPr>
                  <w:tcW w:w="2500" w:type="pct"/>
                  <w:vAlign w:val="top"/>
                </w:tcPr>
                <w:p>
                  <w:r>
                    <w:t xml:space="preserve">NT</w:t>
                  </w:r>
                </w:p>
              </w:tc>
              <w:tc>
                <w:tcPr>
                  <w:tcW w:w="1250" w:type="pct"/>
                  <w:vAlign w:val="top"/>
                </w:tcPr>
                <w:p>
                  <w:r>
                    <w:t xml:space="preserve">500</w:t>
                  </w:r>
                </w:p>
              </w:tc>
              <w:tc>
                <w:tcPr>
                  <w:tcW w:w="1200" w:type="pct"/>
                  <w:vAlign w:val="top"/>
                </w:tcPr>
                <w:p>
                  <w:r>
                    <w:t xml:space="preserve">770</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250" w:type="pct"/>
                  <w:vAlign w:val="top"/>
                </w:tcPr>
                <w:p>
                  <w:r>
                    <w:t xml:space="preserve">540</w:t>
                  </w:r>
                </w:p>
              </w:tc>
              <w:tc>
                <w:tcPr>
                  <w:tcW w:w="1200" w:type="pct"/>
                  <w:vAlign w:val="top"/>
                </w:tcPr>
                <w:p>
                  <w:r>
                    <w:t xml:space="preserve">635</w:t>
                  </w:r>
                </w:p>
              </w:tc>
            </w:tr>
            <w:tr>
              <w:trPr/>
              <w:tc>
                <w:tcPr>
                  <w:tcW w:w="2500" w:type="pct"/>
                  <w:vAlign w:val="top"/>
                </w:tcPr>
                <w:p>
                  <w:r>
                    <w:t xml:space="preserve">Vic</w:t>
                  </w:r>
                </w:p>
              </w:tc>
              <w:tc>
                <w:tcPr>
                  <w:tcW w:w="1250" w:type="pct"/>
                  <w:vAlign w:val="top"/>
                </w:tcPr>
                <w:p>
                  <w:r>
                    <w:t xml:space="preserve">350</w:t>
                  </w:r>
                </w:p>
              </w:tc>
              <w:tc>
                <w:tcPr>
                  <w:tcW w:w="1200" w:type="pct"/>
                  <w:vAlign w:val="top"/>
                </w:tcPr>
                <w:p>
                  <w:r>
                    <w:t xml:space="preserve">223</w:t>
                  </w:r>
                </w:p>
              </w:tc>
            </w:tr>
            <w:tr>
              <w:trPr/>
              <w:tc>
                <w:tcPr>
                  <w:tcW w:w="2500" w:type="pct"/>
                  <w:vAlign w:val="top"/>
                </w:tcPr>
                <w:p>
                  <w:r>
                    <w:t xml:space="preserve">Qld</w:t>
                  </w:r>
                </w:p>
              </w:tc>
              <w:tc>
                <w:tcPr>
                  <w:tcW w:w="1250" w:type="pct"/>
                  <w:vAlign w:val="top"/>
                </w:tcPr>
                <w:p>
                  <w:r>
                    <w:t xml:space="preserve">500</w:t>
                  </w:r>
                </w:p>
              </w:tc>
              <w:tc>
                <w:tcPr>
                  <w:tcW w:w="1200" w:type="pct"/>
                  <w:vAlign w:val="top"/>
                </w:tcPr>
                <w:p>
                  <w:r>
                    <w:t xml:space="preserve">322</w:t>
                  </w:r>
                </w:p>
              </w:tc>
            </w:tr>
            <w:tr>
              <w:trPr/>
              <w:tc>
                <w:tcPr>
                  <w:tcW w:w="2500" w:type="pct"/>
                  <w:vAlign w:val="top"/>
                </w:tcPr>
                <w:p>
                  <w:r>
                    <w:t xml:space="preserve">WA</w:t>
                  </w:r>
                </w:p>
              </w:tc>
              <w:tc>
                <w:tcPr>
                  <w:tcW w:w="1250" w:type="pct"/>
                  <w:vAlign w:val="top"/>
                </w:tcPr>
                <w:p>
                  <w:r>
                    <w:t xml:space="preserve">350</w:t>
                  </w:r>
                </w:p>
              </w:tc>
              <w:tc>
                <w:tcPr>
                  <w:tcW w:w="1200" w:type="pct"/>
                  <w:vAlign w:val="top"/>
                </w:tcPr>
                <w:p>
                  <w:r>
                    <w:t xml:space="preserve">130</w:t>
                  </w:r>
                </w:p>
              </w:tc>
            </w:tr>
            <w:tr>
              <w:trPr/>
              <w:tc>
                <w:tcPr>
                  <w:tcW w:w="2500" w:type="pct"/>
                  <w:vAlign w:val="top"/>
                </w:tcPr>
                <w:p>
                  <w:r>
                    <w:t xml:space="preserve">SA</w:t>
                  </w:r>
                </w:p>
              </w:tc>
              <w:tc>
                <w:tcPr>
                  <w:tcW w:w="1250" w:type="pct"/>
                  <w:vAlign w:val="top"/>
                </w:tcPr>
                <w:p>
                  <w:r>
                    <w:t xml:space="preserve">700</w:t>
                  </w:r>
                </w:p>
              </w:tc>
              <w:tc>
                <w:tcPr>
                  <w:tcW w:w="1200" w:type="pct"/>
                  <w:vAlign w:val="top"/>
                </w:tcPr>
                <w:p>
                  <w:r>
                    <w:t xml:space="preserve">413</w:t>
                  </w:r>
                </w:p>
              </w:tc>
            </w:tr>
            <w:tr>
              <w:trPr/>
              <w:tc>
                <w:tcPr>
                  <w:tcW w:w="2500" w:type="pct"/>
                  <w:vAlign w:val="top"/>
                </w:tcPr>
                <w:p>
                  <w:r>
                    <w:t xml:space="preserve">Tas</w:t>
                  </w:r>
                </w:p>
              </w:tc>
              <w:tc>
                <w:tcPr>
                  <w:tcW w:w="1250" w:type="pct"/>
                  <w:vAlign w:val="top"/>
                </w:tcPr>
                <w:p>
                  <w:r>
                    <w:t xml:space="preserve">350</w:t>
                  </w:r>
                </w:p>
              </w:tc>
              <w:tc>
                <w:tcPr>
                  <w:tcW w:w="1200" w:type="pct"/>
                  <w:vAlign w:val="top"/>
                </w:tcPr>
                <w:p>
                  <w:r>
                    <w:t xml:space="preserve">*</w:t>
                  </w:r>
                </w:p>
              </w:tc>
            </w:tr>
            <w:tr>
              <w:trPr/>
              <w:tc>
                <w:tcPr>
                  <w:tcW w:w="2500" w:type="pct"/>
                  <w:vAlign w:val="top"/>
                </w:tcPr>
                <w:p>
                  <w:r>
                    <w:t xml:space="preserve">ACT</w:t>
                  </w:r>
                </w:p>
              </w:tc>
              <w:tc>
                <w:tcPr>
                  <w:tcW w:w="1250" w:type="pct"/>
                  <w:vAlign w:val="top"/>
                </w:tcPr>
                <w:p>
                  <w:r>
                    <w:t xml:space="preserve">200</w:t>
                  </w:r>
                </w:p>
              </w:tc>
              <w:tc>
                <w:tcPr>
                  <w:tcW w:w="1200" w:type="pct"/>
                  <w:vAlign w:val="top"/>
                </w:tcPr>
                <w:p>
                  <w:r>
                    <w:t xml:space="preserve">*</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250" w:type="pct"/>
                  <w:vAlign w:val="top"/>
                </w:tcPr>
                <w:p>
                  <w:r>
                    <w:t xml:space="preserve">500</w:t>
                  </w:r>
                </w:p>
              </w:tc>
              <w:tc>
                <w:tcPr>
                  <w:tcW w:w="1200" w:type="pct"/>
                  <w:vAlign w:val="top"/>
                </w:tcPr>
                <w:p>
                  <w:r>
                    <w:t xml:space="preserve">. .</w:t>
                  </w:r>
                </w:p>
              </w:tc>
            </w:tr>
            <w:tr>
              <w:trPr/>
              <w:tc>
                <w:tcPr>
                  <w:tcW w:w="2500" w:type="pct"/>
                  <w:vAlign w:val="top"/>
                </w:tcPr>
                <w:p>
                  <w:r>
                    <w:t xml:space="preserve">Qld</w:t>
                  </w:r>
                </w:p>
              </w:tc>
              <w:tc>
                <w:tcPr>
                  <w:tcW w:w="1250" w:type="pct"/>
                  <w:vAlign w:val="top"/>
                </w:tcPr>
                <w:p>
                  <w:r>
                    <w:t xml:space="preserve">500</w:t>
                  </w:r>
                </w:p>
              </w:tc>
              <w:tc>
                <w:tcPr>
                  <w:tcW w:w="1200" w:type="pct"/>
                  <w:vAlign w:val="top"/>
                </w:tcPr>
                <w:p>
                  <w:r>
                    <w:t xml:space="preserve">. .</w:t>
                  </w:r>
                </w:p>
              </w:tc>
            </w:tr>
            <w:tr>
              <w:trPr/>
              <w:tc>
                <w:tcPr>
                  <w:tcW w:w="2500" w:type="pct"/>
                  <w:vAlign w:val="top"/>
                </w:tcPr>
                <w:p>
                  <w:r>
                    <w:t xml:space="preserve">SA</w:t>
                  </w:r>
                </w:p>
              </w:tc>
              <w:tc>
                <w:tcPr>
                  <w:tcW w:w="1250" w:type="pct"/>
                  <w:vAlign w:val="top"/>
                </w:tcPr>
                <w:p>
                  <w:r>
                    <w:t xml:space="preserve">300</w:t>
                  </w:r>
                </w:p>
              </w:tc>
              <w:tc>
                <w:tcPr>
                  <w:tcW w:w="1200" w:type="pct"/>
                  <w:vAlign w:val="top"/>
                </w:tcPr>
                <w:p>
                  <w:r>
                    <w:t xml:space="preserve">. .</w:t>
                  </w:r>
                </w:p>
              </w:tc>
            </w:tr>
            <w:tr>
              <w:trPr/>
              <w:tc>
                <w:tcPr>
                  <w:tcW w:w="2500" w:type="pct"/>
                  <w:vAlign w:val="top"/>
                </w:tcPr>
                <w:p>
                  <w:r>
                    <w:t xml:space="preserve">Tas</w:t>
                  </w:r>
                </w:p>
              </w:tc>
              <w:tc>
                <w:tcPr>
                  <w:tcW w:w="1250" w:type="pct"/>
                  <w:vAlign w:val="top"/>
                </w:tcPr>
                <w:p>
                  <w:r>
                    <w:t xml:space="preserve">200</w:t>
                  </w:r>
                </w:p>
              </w:tc>
              <w:tc>
                <w:tcPr>
                  <w:tcW w:w="1200" w:type="pct"/>
                  <w:vAlign w:val="top"/>
                </w:tcPr>
                <w:p>
                  <w:r>
                    <w:t xml:space="preserve">. .</w:t>
                  </w:r>
                </w:p>
              </w:tc>
            </w:tr>
          </w:tbl>
          <w:p>
            <w:r>
              <w:t xml:space="preserve">* A booster send was not required.</w:t>
            </w:r>
          </w:p>
          <w:p>
            <w:r>
              <w:t xml:space="preserve">. . SOMIH jurisdictions were face-to-face interview or Census sends so a boost was not applicable.</w:t>
            </w:r>
          </w:p>
          <w:p>
            <w:r>
              <w:rPr>
                <w:b/>
              </w:rPr>
              <w:t xml:space="preserve">Weighting</w:t>
            </w:r>
          </w:p>
          <w:p>
            <w:r>
              <w:t xml:space="preserve">Consistent with the 2018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p>
            <w:r>
              <w:rPr>
                <w:b/>
              </w:rPr>
              <w:t xml:space="preserve">Sampling error</w:t>
            </w:r>
          </w:p>
          <w:p>
            <w:r>
              <w:t xml:space="preserve">The estimates are subject to sampling error. Relative standard errors (RSEs) are provided with estimates from the 2021 NSHS to assist the reader assess the reliability of the estimates. Only estimates with RSEs of less than 25% are considered sufficiently reliable for most purposes. Results subject to RSEs of between 25% and 50% should be considered with caution and those with RSEs greater than 50% should be considered as unreliable for most purposes.</w:t>
            </w:r>
          </w:p>
          <w:p>
            <w:r>
              <w:rPr>
                <w:b/>
              </w:rPr>
              <w:t xml:space="preserve">Non-sampling error</w:t>
            </w:r>
          </w:p>
          <w:p>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Non-sampling errors can also arise from coverage, interviewer or processing errors. It is also expected there is some level of non-response error where there are higher levels of non-response from certain subpopulations.</w:t>
            </w:r>
          </w:p>
          <w:p>
            <w:r>
              <w:rPr>
                <w:b/>
              </w:rPr>
              <w:t xml:space="preserve">Missing data</w:t>
            </w:r>
          </w:p>
          <w:p>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2021 NSHS, caution should be used when comparing trend data or data between jurisdictions due to differences in response rates and non-sampling error.</w:t>
            </w:r>
          </w:p>
          <w:p>
            <w:pPr>
              <w:spacing w:after="160"/>
            </w:pPr>
            <w:r>
              <w:rPr>
                <w:rStyle w:val="row-content-rich-text"/>
              </w:rPr>
              <w:t xml:space="preserve">The 2021 NSHS sampling and stratification methods were similar to the 2018 survey: a sample was randomly selected from each stratum.</w:t>
            </w:r>
          </w:p>
          <w:p>
            <w:pPr>
              <w:spacing w:after="160"/>
            </w:pPr>
            <w:r>
              <w:rPr>
                <w:rStyle w:val="row-content-rich-text"/>
              </w:rPr>
              <w:t xml:space="preserve">The data collected for SOMIH was sourced using two methodologies (via mail-out in three jurisdictions and via face-to-face interview in one jurisdiction). Trend data from before 2016 and comparisons between jurisdictions should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2021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2aa5a75a094cb9">
              <w:r>
                <w:rPr>
                  <w:rStyle w:val="Hyperlink"/>
                </w:rPr>
                <w:t xml:space="preserve">National Social Housing Survey, 2018; Quality Statement</w:t>
              </w:r>
            </w:hyperlink>
          </w:p>
          <w:p>
            <w:pPr>
              <w:spacing w:before="0" w:after="0"/>
            </w:pPr>
            <w:r>
              <w:rPr>
                <w:rStyle w:val="row-content"/>
                <w:color w:val="244061"/>
              </w:rPr>
              <w:t xml:space="preserve">       </w:t>
            </w:r>
            <w:hyperlink w:history="true" r:id="R7b5e3fb4da8e4aa0">
              <w:r>
                <w:rPr>
                  <w:rStyle w:val="Hyperlink"/>
                  <w:color w:val="244061"/>
                </w:rPr>
                <w:t xml:space="preserve">AIHW Data Quality Statements</w:t>
              </w:r>
            </w:hyperlink>
            <w:r>
              <w:rPr>
                <w:rStyle w:val="row-content"/>
                <w:color w:val="244061"/>
              </w:rPr>
              <w:t xml:space="preserve">, Superseded 13/01/2022</w:t>
            </w:r>
          </w:p>
          <w:p>
            <w:r>
              <w:br/>
            </w:r>
            <w:r>
              <w:rPr>
                <w:rStyle w:val="row-content"/>
              </w:rPr>
              <w:t xml:space="preserve">Has been superseded by </w:t>
            </w:r>
            <w:hyperlink w:history="true" r:id="R85fa9216fa9f4ee5">
              <w:r>
                <w:rPr>
                  <w:rStyle w:val="Hyperlink"/>
                </w:rPr>
                <w:t xml:space="preserve">National Social Housing Survey, 2023; Quality Statement</w:t>
              </w:r>
            </w:hyperlink>
          </w:p>
          <w:p>
            <w:pPr>
              <w:spacing w:before="0" w:after="0"/>
            </w:pPr>
            <w:r>
              <w:rPr>
                <w:rStyle w:val="row-content"/>
                <w:color w:val="244061"/>
              </w:rPr>
              <w:t xml:space="preserve">       </w:t>
            </w:r>
            <w:hyperlink w:history="true" r:id="Rf3d391831e7d4cc9">
              <w:r>
                <w:rPr>
                  <w:rStyle w:val="Hyperlink"/>
                  <w:color w:val="244061"/>
                </w:rPr>
                <w:t xml:space="preserve">AIHW Data Quality Statements</w:t>
              </w:r>
            </w:hyperlink>
            <w:r>
              <w:rPr>
                <w:rStyle w:val="row-content"/>
                <w:color w:val="244061"/>
              </w:rPr>
              <w:t xml:space="preserve">, Standard 13/12/2023</w:t>
            </w:r>
          </w:p>
          <w:p>
            <w:r>
              <w:br/>
            </w:r>
          </w:p>
        </w:tc>
      </w:tr>
    </w:tbl>
    <w:p>
      <w:r>
        <w:br/>
      </w:r>
    </w:p>
    <w:sectPr>
      <w:footerReference xmlns:r="http://schemas.openxmlformats.org/officeDocument/2006/relationships" w:type="default" r:id="R8a85cc050d71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748649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aac4f9f72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5cc050d714351" /><Relationship Type="http://schemas.openxmlformats.org/officeDocument/2006/relationships/header" Target="/word/header1.xml" Id="Rfcabae10de864c29" /><Relationship Type="http://schemas.openxmlformats.org/officeDocument/2006/relationships/settings" Target="/word/settings.xml" Id="Rc8f93a142eeb4a76" /><Relationship Type="http://schemas.openxmlformats.org/officeDocument/2006/relationships/styles" Target="/word/styles.xml" Id="Ra4e1a7c42c8a47cb" /><Relationship Type="http://schemas.openxmlformats.org/officeDocument/2006/relationships/hyperlink" Target="https://meteor.aihw.gov.au/RegistrationAuthority/5" TargetMode="External" Id="R5be938834eaa4649" /><Relationship Type="http://schemas.openxmlformats.org/officeDocument/2006/relationships/numbering" Target="/word/numbering.xml" Id="R90e6de0a3df948b3" /><Relationship Type="http://schemas.openxmlformats.org/officeDocument/2006/relationships/hyperlink" Target="https://www.legislation.gov.au/Series/C2004A03450" TargetMode="External" Id="Reb067548da2b4d95" /><Relationship Type="http://schemas.openxmlformats.org/officeDocument/2006/relationships/hyperlink" Target="https://www.aihw.gov.au/about-us/our-governance" TargetMode="External" Id="R40c19ecb13834516" /><Relationship Type="http://schemas.openxmlformats.org/officeDocument/2006/relationships/hyperlink" Target="https://www.legislation.gov.au/Series/C2004A03712" TargetMode="External" Id="R6d59ee85ea9b4d61" /><Relationship Type="http://schemas.openxmlformats.org/officeDocument/2006/relationships/hyperlink" Target="https://www.aihw.gov.au/about-us" TargetMode="External" Id="R8e7335be7a3c4076" /><Relationship Type="http://schemas.openxmlformats.org/officeDocument/2006/relationships/hyperlink" Target="https://www.aihw.gov.au/about-us/our-governance" TargetMode="External" Id="Rea7d6cfdbc3a4369" /><Relationship Type="http://schemas.openxmlformats.org/officeDocument/2006/relationships/hyperlink" Target="https://www.aihw.gov.au/about-us/our-vision-and-strategic-goals" TargetMode="External" Id="R6f66f8d44eb74f5d" /><Relationship Type="http://schemas.openxmlformats.org/officeDocument/2006/relationships/hyperlink" Target="https://www.aihw.gov.au/reports-data/health-welfare-services/housing-assistance/overview" TargetMode="External" Id="R0c7848632aa24d13" /><Relationship Type="http://schemas.openxmlformats.org/officeDocument/2006/relationships/hyperlink" Target="http://www.pc.gov.au/research/ongoing/report-on-government-services" TargetMode="External" Id="R137c31e8cf0245bb" /><Relationship Type="http://schemas.openxmlformats.org/officeDocument/2006/relationships/hyperlink" Target="https://www.aihw.gov.au/our-services/data-on-request" TargetMode="External" Id="R5ac1e7ccbe39491f" /><Relationship Type="http://schemas.openxmlformats.org/officeDocument/2006/relationships/hyperlink" Target="mailto:info@aihw.gov.au" TargetMode="External" Id="Reb800a91b9274bc7" /><Relationship Type="http://schemas.openxmlformats.org/officeDocument/2006/relationships/hyperlink" Target="https://meteor.aihw.gov.au/content/705807" TargetMode="External" Id="Ree2aa5a75a094cb9" /><Relationship Type="http://schemas.openxmlformats.org/officeDocument/2006/relationships/hyperlink" Target="https://meteor.aihw.gov.au/RegistrationAuthority/5" TargetMode="External" Id="R7b5e3fb4da8e4aa0" /><Relationship Type="http://schemas.openxmlformats.org/officeDocument/2006/relationships/hyperlink" Target="https://meteor.aihw.gov.au/content/782830" TargetMode="External" Id="R85fa9216fa9f4ee5" /><Relationship Type="http://schemas.openxmlformats.org/officeDocument/2006/relationships/hyperlink" Target="https://meteor.aihw.gov.au/RegistrationAuthority/5" TargetMode="External" Id="Rf3d391831e7d4cc9" /></Relationships>
</file>

<file path=word/_rels/header1.xml.rels>&#65279;<?xml version="1.0" encoding="utf-8"?><Relationships xmlns="http://schemas.openxmlformats.org/package/2006/relationships"><Relationship Type="http://schemas.openxmlformats.org/officeDocument/2006/relationships/image" Target="/media/image.png" Id="R34caac4f9f724745" /></Relationships>
</file>