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10af6d414457b"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608487d4645e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patient motor function." w:history="true" r:id="R7aafa78b27014208">
              <w:r>
                <w:rPr>
                  <w:rStyle w:val="Hyperlink"/>
                  <w:b/>
                </w:rPr>
                <w:t xml:space="preserve">Resource Utilisation Groups-Activities of Daily Living</w:t>
              </w:r>
            </w:hyperlink>
            <w:r>
              <w:rPr>
                <w:rStyle w:val="row-content-rich-text"/>
              </w:rPr>
              <w:t xml:space="preserve">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cf0756ee374740">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e58a2782e64170">
              <w:r>
                <w:rPr>
                  <w:rStyle w:val="Hyperlink"/>
                </w:rPr>
                <w:t xml:space="preserve">Resource Utilisation Groups–Activities of Daily Living total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7e80914c2d9c4469">
              <w:r>
                <w:rPr>
                  <w:rStyle w:val="Hyperlink"/>
                  <w:b/>
                </w:rPr>
                <w:t xml:space="preserve">Resource Utilisation Groups–Activities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 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7     Unable to rate (insufficient information)</w:t>
            </w:r>
          </w:p>
          <w:p>
            <w:r>
              <w:t xml:space="preserve">This code should be used when the assessor does not have enough information to provide a rating.</w:t>
            </w:r>
          </w:p>
          <w:p>
            <w:r>
              <w:t xml:space="preserve">CODE 9     Not stated/missing</w:t>
            </w:r>
          </w:p>
          <w:p>
            <w:r>
              <w:t xml:space="preserve">This code should be used where no rating has been provided or the rating provided is indecipherable.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fe55c85c0449a">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a472ff60a8d546e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50a4f960cf6c48b9">
              <w:r>
                <w:rPr>
                  <w:rStyle w:val="Hyperlink"/>
                </w:rPr>
                <w:t xml:space="preserve">Collection occasion—survey version, mental health code XX[XXX]</w:t>
              </w:r>
            </w:hyperlink>
          </w:p>
          <w:p>
            <w:pPr>
              <w:pStyle w:val="registration-status"/>
              <w:spacing w:before="0" w:after="0"/>
            </w:pPr>
            <w:hyperlink w:history="true" r:id="Ra164bbff9eb44cd5">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2381827fd13c417f">
              <w:r>
                <w:rPr>
                  <w:rStyle w:val="Hyperlink"/>
                </w:rPr>
                <w:t xml:space="preserve">Resource Utilisation Groups–Activities of Daily Living total score code N[N]</w:t>
              </w:r>
            </w:hyperlink>
          </w:p>
          <w:p>
            <w:pPr>
              <w:pStyle w:val="registration-status"/>
              <w:spacing w:before="0" w:after="0"/>
            </w:pPr>
            <w:hyperlink w:history="true" r:id="R64b579fddd534322">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bab99333a7474c">
              <w:r>
                <w:rPr>
                  <w:rStyle w:val="Hyperlink"/>
                </w:rPr>
                <w:t xml:space="preserve">Activity based funding: Mental health care NBEDS 2023–24</w:t>
              </w:r>
            </w:hyperlink>
          </w:p>
          <w:p>
            <w:pPr>
              <w:pStyle w:val="registration-status"/>
              <w:spacing w:before="0" w:after="0"/>
            </w:pPr>
            <w:hyperlink w:history="true" r:id="Rd3d441c1e35740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the response to </w:t>
            </w:r>
            <w:hyperlink w:history="true" r:id="R4f00c513f5e14987">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Reporting of the RUG-ADL should only be reported for patients aged 65 years and over.</w:t>
            </w:r>
          </w:p>
          <w:p>
            <w:r>
              <w:br/>
            </w:r>
            <w:r>
              <w:br/>
            </w:r>
            <w:hyperlink w:history="true" r:id="Ra353a1df669c4583">
              <w:r>
                <w:rPr>
                  <w:rStyle w:val="Hyperlink"/>
                </w:rPr>
                <w:t xml:space="preserve">Activity based funding: Mental health care NBEDS 2024–25</w:t>
              </w:r>
            </w:hyperlink>
          </w:p>
          <w:p>
            <w:pPr>
              <w:pStyle w:val="registration-status"/>
              <w:spacing w:before="0" w:after="0"/>
            </w:pPr>
            <w:hyperlink w:history="true" r:id="Ra698ddbf1ccf49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the response to </w:t>
            </w:r>
            <w:hyperlink w:history="true" r:id="R379ab4b1c1d8499f">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Reporting of the RUG-ADL should only be reported for patients aged 65 years and over.</w:t>
            </w:r>
          </w:p>
          <w:p>
            <w:r>
              <w:br/>
            </w:r>
            <w:r>
              <w:br/>
            </w:r>
            <w:hyperlink w:history="true" r:id="R00f388d74f8347cd">
              <w:r>
                <w:rPr>
                  <w:rStyle w:val="Hyperlink"/>
                </w:rPr>
                <w:t xml:space="preserve">National Outcomes and Casemix Collection NBEDS 2023-24</w:t>
              </w:r>
            </w:hyperlink>
          </w:p>
          <w:p>
            <w:pPr>
              <w:pStyle w:val="registration-status"/>
              <w:spacing w:before="0" w:after="0"/>
            </w:pPr>
            <w:hyperlink w:history="true" r:id="Rdcff124997d844c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and residential </w:t>
            </w:r>
          </w:p>
          <w:p>
            <w:r>
              <w:rPr>
                <w:rStyle w:val="row-content"/>
              </w:rPr>
              <w:t xml:space="preserve">Occasion: admission and review</w:t>
            </w:r>
          </w:p>
          <w:p>
            <w:r>
              <w:rPr>
                <w:rStyle w:val="row-content"/>
              </w:rPr>
              <w:t xml:space="preserve">Age group: older persons</w:t>
            </w:r>
          </w:p>
          <w:p>
            <w:r>
              <w:rPr>
                <w:rStyle w:val="row-content"/>
              </w:rPr>
              <w:t xml:space="preserve">For more information on setting, occasion, or age groups, see the </w:t>
            </w:r>
            <w:hyperlink w:history="true" r:id="R455d5d55f9704504">
              <w:r>
                <w:rPr>
                  <w:rStyle w:val="Hyperlink"/>
                </w:rPr>
                <w:t xml:space="preserve">NOCC collection protocol</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use in the NOCC, the following labels apply:</w:t>
            </w:r>
          </w:p>
          <w:p>
            <w:r>
              <w:rPr>
                <w:rStyle w:val="row-content"/>
                <w:b/>
              </w:rPr>
              <w:t xml:space="preserve">RUG-ADL item numbers 1, 2 &amp; 3 </w:t>
            </w:r>
          </w:p>
          <w:tbl>
            <w:tblPr>
              <w:tblStyle w:val="TableGrid"/>
              <w:tblW w:w="5000" w:type="pct"/>
              <w:tblLayout w:type="autofit"/>
            </w:tblPr>
            <w:tblGrid>
              <w:gridCol/>
              <w:gridCol/>
            </w:tblGrid>
            <w:tr>
              <w:trPr/>
              <w:tc>
                <w:tcPr>
                  <w:tcW w:w="1000" w:type="pct"/>
                  <w:vAlign w:val="top"/>
                </w:tcPr>
                <w:p>
                  <w:r>
                    <w:rPr>
                      <w:rStyle w:val="row-content"/>
                    </w:rPr>
                    <w:t xml:space="preserve">1:</w:t>
                  </w:r>
                </w:p>
              </w:tc>
              <w:tc>
                <w:tcPr>
                  <w:tcW w:w="4000" w:type="pct"/>
                  <w:vAlign w:val="top"/>
                </w:tcPr>
                <w:p>
                  <w:r>
                    <w:rPr>
                      <w:rStyle w:val="row-content"/>
                    </w:rPr>
                    <w:t xml:space="preserve">Independent or supervision only</w:t>
                  </w:r>
                </w:p>
              </w:tc>
            </w:tr>
            <w:tr>
              <w:trPr/>
              <w:tc>
                <w:tcPr>
                  <w:tcW w:w="1000" w:type="pct"/>
                  <w:vAlign w:val="top"/>
                </w:tcPr>
                <w:p>
                  <w:r>
                    <w:t xml:space="preserve">3:</w:t>
                  </w:r>
                </w:p>
              </w:tc>
              <w:tc>
                <w:tcPr>
                  <w:tcW w:w="4000" w:type="pct"/>
                  <w:vAlign w:val="top"/>
                </w:tcPr>
                <w:p>
                  <w:r>
                    <w:t xml:space="preserve">Limited physical assistance</w:t>
                  </w:r>
                </w:p>
              </w:tc>
            </w:tr>
            <w:tr>
              <w:trPr/>
              <w:tc>
                <w:tcPr>
                  <w:tcW w:w="1000" w:type="pct"/>
                  <w:vAlign w:val="top"/>
                </w:tcPr>
                <w:p>
                  <w:r>
                    <w:t xml:space="preserve">4:</w:t>
                  </w:r>
                </w:p>
              </w:tc>
              <w:tc>
                <w:tcPr>
                  <w:tcW w:w="4000" w:type="pct"/>
                  <w:vAlign w:val="top"/>
                </w:tcPr>
                <w:p>
                  <w:r>
                    <w:t xml:space="preserve">Other than 2 - person physical assistance</w:t>
                  </w:r>
                </w:p>
              </w:tc>
            </w:tr>
            <w:tr>
              <w:trPr/>
              <w:tc>
                <w:tcPr>
                  <w:tcW w:w="1000" w:type="pct"/>
                  <w:vAlign w:val="top"/>
                </w:tcPr>
                <w:p>
                  <w:r>
                    <w:t xml:space="preserve">5:</w:t>
                  </w:r>
                </w:p>
              </w:tc>
              <w:tc>
                <w:tcPr>
                  <w:tcW w:w="4000" w:type="pct"/>
                  <w:vAlign w:val="top"/>
                </w:tcPr>
                <w:p>
                  <w:r>
                    <w:t xml:space="preserve">2 - person physical assistance</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r>
              <w:t xml:space="preserve"> </w:t>
            </w:r>
          </w:p>
          <w:p>
            <w:r>
              <w:rPr>
                <w:b/>
              </w:rPr>
              <w:t xml:space="preserve">RUG-ADL item number 4</w:t>
            </w:r>
          </w:p>
          <w:tbl>
            <w:tblPr>
              <w:tblStyle w:val="TableGrid"/>
              <w:tblW w:w="5000" w:type="pct"/>
              <w:tblLayout w:type="autofit"/>
            </w:tblPr>
            <w:tblGrid>
              <w:gridCol/>
            </w:tblGrid>
            <w:tr>
              <w:trPr/>
              <w:tc>
                <w:tcPr>
                  <w:tcW w:w="5000" w:type="pct"/>
                  <w:vAlign w:val="top"/>
                </w:tcPr>
                <w:tbl>
                  <w:tblPr>
                    <w:tblStyle w:val="InnerTable"/>
                    <w:tblW w:w="5000" w:type="pct"/>
                    <w:tblLayout w:type="autofit"/>
                  </w:tblPr>
                  <w:tblGrid>
                    <w:gridCol/>
                    <w:gridCol/>
                  </w:tblGrid>
                  <w:tr>
                    <w:trPr/>
                    <w:tc>
                      <w:tcPr>
                        <w:tcW w:w="1000" w:type="pct"/>
                        <w:vAlign w:val="top"/>
                      </w:tcPr>
                      <w:p>
                        <w:r>
                          <w:t xml:space="preserve"> </w:t>
                        </w:r>
                        <w:r>
                          <w:t xml:space="preserve">1:</w:t>
                        </w:r>
                      </w:p>
                    </w:tc>
                    <w:tc>
                      <w:tcPr>
                        <w:tcW w:w="4000" w:type="pct"/>
                        <w:vAlign w:val="top"/>
                      </w:tcPr>
                      <w:p>
                        <w:r>
                          <w:t xml:space="preserve">Independent or supervision only</w:t>
                        </w:r>
                      </w:p>
                    </w:tc>
                  </w:tr>
                  <w:tr>
                    <w:trPr/>
                    <w:tc>
                      <w:tcPr>
                        <w:tcW w:w="1000" w:type="pct"/>
                        <w:vAlign w:val="top"/>
                      </w:tcPr>
                      <w:p>
                        <w:r>
                          <w:t xml:space="preserve">2:</w:t>
                        </w:r>
                      </w:p>
                    </w:tc>
                    <w:tc>
                      <w:tcPr>
                        <w:tcW w:w="4000" w:type="pct"/>
                        <w:vAlign w:val="top"/>
                      </w:tcPr>
                      <w:p>
                        <w:r>
                          <w:t xml:space="preserve">Limited assistance</w:t>
                        </w:r>
                      </w:p>
                    </w:tc>
                  </w:tr>
                  <w:tr>
                    <w:trPr/>
                    <w:tc>
                      <w:tcPr>
                        <w:tcW w:w="1000" w:type="pct"/>
                        <w:vAlign w:val="top"/>
                      </w:tcPr>
                      <w:p>
                        <w:r>
                          <w:t xml:space="preserve">3:</w:t>
                        </w:r>
                      </w:p>
                    </w:tc>
                    <w:tc>
                      <w:tcPr>
                        <w:tcW w:w="4000" w:type="pct"/>
                        <w:vAlign w:val="top"/>
                      </w:tcPr>
                      <w:p>
                        <w:r>
                          <w:t xml:space="preserve">Extensive assistance / Total dependence / Tube fed</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tc>
            </w:tr>
          </w:tbl>
          <w:p>
            <w:pPr>
              <w:pStyle w:val="registration-status"/>
              <w:spacing w:before="0" w:after="0"/>
            </w:pPr>
            <w:hyperlink w:history="true" r:id="Rd9aaaac7869e4328">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Conditional obligation: </w:t>
            </w:r>
          </w:p>
          <w:p>
            <w:r>
              <w:t xml:space="preserve">In the National Outcomes and Casemix Collection (NOCC) NBEDS, this data element should be collected where:</w:t>
            </w:r>
          </w:p>
          <w:p>
            <w:r>
              <w:t xml:space="preserve">Setting: inpatient and residential </w:t>
            </w:r>
          </w:p>
          <w:p>
            <w:r>
              <w:t xml:space="preserve">Occasion: admission and review</w:t>
            </w:r>
          </w:p>
          <w:p>
            <w:r>
              <w:t xml:space="preserve">Age group: older persons</w:t>
            </w:r>
          </w:p>
          <w:p>
            <w:r>
              <w:t xml:space="preserve">For more information on setting, occasion, or age groups, see the </w:t>
            </w:r>
            <w:hyperlink w:history="true" r:id="R0215294fd8fc4c4f">
              <w:r>
                <w:rPr>
                  <w:rStyle w:val="Hyperlink"/>
                </w:rPr>
                <w:t xml:space="preserve">NOCC collection protocol</w:t>
              </w:r>
            </w:hyperlink>
            <w:r>
              <w:t xml:space="preserve"> (Australian Mental Health Outcomes and Classifications Network, 2022).</w:t>
            </w:r>
          </w:p>
          <w:p>
            <w:r>
              <w:br/>
            </w:r>
            <w:r>
              <w:rPr>
                <w:b/>
                <w:i/>
              </w:rPr>
              <w:t xml:space="preserve">DSS specific information: </w:t>
            </w:r>
          </w:p>
          <w:p>
            <w:r>
              <w:t xml:space="preserve">For use in the NOCC, the following labels apply:</w:t>
            </w:r>
          </w:p>
          <w:p>
            <w:r>
              <w:rPr>
                <w:b/>
              </w:rPr>
              <w:t xml:space="preserve">RUG-ADL item numbers 1, 2 &amp; 3 </w:t>
            </w:r>
          </w:p>
          <w:tbl>
            <w:tblPr>
              <w:tblStyle w:val="TableGrid"/>
              <w:tblW w:w="5000" w:type="pct"/>
              <w:tblLayout w:type="autofit"/>
            </w:tblPr>
            <w:tblGrid>
              <w:gridCol/>
              <w:gridCol/>
            </w:tblGrid>
            <w:tr>
              <w:trPr/>
              <w:tc>
                <w:tcPr>
                  <w:tcW w:w="1000" w:type="pct"/>
                  <w:vAlign w:val="top"/>
                </w:tcPr>
                <w:p>
                  <w:r>
                    <w:t xml:space="preserve">1:</w:t>
                  </w:r>
                </w:p>
              </w:tc>
              <w:tc>
                <w:tcPr>
                  <w:tcW w:w="4000" w:type="pct"/>
                  <w:vAlign w:val="top"/>
                </w:tcPr>
                <w:p>
                  <w:r>
                    <w:t xml:space="preserve">Independent or supervision only</w:t>
                  </w:r>
                </w:p>
              </w:tc>
            </w:tr>
            <w:tr>
              <w:trPr/>
              <w:tc>
                <w:tcPr>
                  <w:tcW w:w="1000" w:type="pct"/>
                  <w:vAlign w:val="top"/>
                </w:tcPr>
                <w:p>
                  <w:r>
                    <w:t xml:space="preserve">3:</w:t>
                  </w:r>
                </w:p>
              </w:tc>
              <w:tc>
                <w:tcPr>
                  <w:tcW w:w="4000" w:type="pct"/>
                  <w:vAlign w:val="top"/>
                </w:tcPr>
                <w:p>
                  <w:r>
                    <w:t xml:space="preserve">Limited physical assistance</w:t>
                  </w:r>
                </w:p>
              </w:tc>
            </w:tr>
            <w:tr>
              <w:trPr/>
              <w:tc>
                <w:tcPr>
                  <w:tcW w:w="1000" w:type="pct"/>
                  <w:vAlign w:val="top"/>
                </w:tcPr>
                <w:p>
                  <w:r>
                    <w:t xml:space="preserve">4:</w:t>
                  </w:r>
                </w:p>
              </w:tc>
              <w:tc>
                <w:tcPr>
                  <w:tcW w:w="4000" w:type="pct"/>
                  <w:vAlign w:val="top"/>
                </w:tcPr>
                <w:p>
                  <w:r>
                    <w:t xml:space="preserve">Other than 2 - person physical assistance</w:t>
                  </w:r>
                </w:p>
              </w:tc>
            </w:tr>
            <w:tr>
              <w:trPr/>
              <w:tc>
                <w:tcPr>
                  <w:tcW w:w="1000" w:type="pct"/>
                  <w:vAlign w:val="top"/>
                </w:tcPr>
                <w:p>
                  <w:r>
                    <w:t xml:space="preserve">5:</w:t>
                  </w:r>
                </w:p>
              </w:tc>
              <w:tc>
                <w:tcPr>
                  <w:tcW w:w="4000" w:type="pct"/>
                  <w:vAlign w:val="top"/>
                </w:tcPr>
                <w:p>
                  <w:r>
                    <w:t xml:space="preserve">2 - person physical assistance</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r>
              <w:t xml:space="preserve"> </w:t>
            </w:r>
          </w:p>
          <w:p>
            <w:r>
              <w:rPr>
                <w:b/>
              </w:rPr>
              <w:t xml:space="preserve">RUG-ADL item number 4</w:t>
            </w:r>
          </w:p>
          <w:tbl>
            <w:tblPr>
              <w:tblStyle w:val="TableGrid"/>
              <w:tblW w:w="5000" w:type="pct"/>
              <w:tblLayout w:type="autofit"/>
            </w:tblPr>
            <w:tblGrid>
              <w:gridCol/>
            </w:tblGrid>
            <w:tr>
              <w:trPr/>
              <w:tc>
                <w:tcPr>
                  <w:tcW w:w="5000" w:type="pct"/>
                  <w:vAlign w:val="top"/>
                </w:tcPr>
                <w:tbl>
                  <w:tblPr>
                    <w:tblStyle w:val="InnerTable"/>
                    <w:tblW w:w="5000" w:type="pct"/>
                    <w:tblLayout w:type="autofit"/>
                  </w:tblPr>
                  <w:tblGrid>
                    <w:gridCol/>
                    <w:gridCol/>
                  </w:tblGrid>
                  <w:tr>
                    <w:trPr/>
                    <w:tc>
                      <w:tcPr>
                        <w:tcW w:w="1000" w:type="pct"/>
                        <w:vAlign w:val="top"/>
                      </w:tcPr>
                      <w:p>
                        <w:r>
                          <w:t xml:space="preserve"> </w:t>
                        </w:r>
                        <w:r>
                          <w:t xml:space="preserve">1:</w:t>
                        </w:r>
                      </w:p>
                    </w:tc>
                    <w:tc>
                      <w:tcPr>
                        <w:tcW w:w="4000" w:type="pct"/>
                        <w:vAlign w:val="top"/>
                      </w:tcPr>
                      <w:p>
                        <w:r>
                          <w:t xml:space="preserve">Independent or supervision only</w:t>
                        </w:r>
                      </w:p>
                    </w:tc>
                  </w:tr>
                  <w:tr>
                    <w:trPr/>
                    <w:tc>
                      <w:tcPr>
                        <w:tcW w:w="1000" w:type="pct"/>
                        <w:vAlign w:val="top"/>
                      </w:tcPr>
                      <w:p>
                        <w:r>
                          <w:t xml:space="preserve">2:</w:t>
                        </w:r>
                      </w:p>
                    </w:tc>
                    <w:tc>
                      <w:tcPr>
                        <w:tcW w:w="4000" w:type="pct"/>
                        <w:vAlign w:val="top"/>
                      </w:tcPr>
                      <w:p>
                        <w:r>
                          <w:t xml:space="preserve">Limited assistance</w:t>
                        </w:r>
                      </w:p>
                    </w:tc>
                  </w:tr>
                  <w:tr>
                    <w:trPr/>
                    <w:tc>
                      <w:tcPr>
                        <w:tcW w:w="1000" w:type="pct"/>
                        <w:vAlign w:val="top"/>
                      </w:tcPr>
                      <w:p>
                        <w:r>
                          <w:t xml:space="preserve">3:</w:t>
                        </w:r>
                      </w:p>
                    </w:tc>
                    <w:tc>
                      <w:tcPr>
                        <w:tcW w:w="4000" w:type="pct"/>
                        <w:vAlign w:val="top"/>
                      </w:tcPr>
                      <w:p>
                        <w:r>
                          <w:t xml:space="preserve">Extensive assistance / Total dependence / Tube fed</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tc>
            </w:tr>
          </w:tbl>
          <w:p>
            <w:r>
              <w:br/>
            </w:r>
            <w:r>
              <w:br/>
            </w:r>
          </w:p>
        </w:tc>
      </w:tr>
    </w:tbl>
    <w:p/>
    <w:tbl>
      <w:tblPr>
        <w:tblStyle w:val="TableGrid"/>
        <w:tblW w:w="0" w:type="auto"/>
      </w:tblPr>
    </w:tbl>
    <w:p>
      <w:r>
        <w:br/>
      </w:r>
    </w:p>
    <w:sectPr>
      <w:footerReference xmlns:r="http://schemas.openxmlformats.org/officeDocument/2006/relationships" w:type="default" r:id="Reeb8ba85ca18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9a32bf7f4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8ba85ca18472f" /><Relationship Type="http://schemas.openxmlformats.org/officeDocument/2006/relationships/header" Target="/word/header1.xml" Id="Re0bba9d0e2d44f4d" /><Relationship Type="http://schemas.openxmlformats.org/officeDocument/2006/relationships/settings" Target="/word/settings.xml" Id="R9c3d6e591c804754" /><Relationship Type="http://schemas.openxmlformats.org/officeDocument/2006/relationships/styles" Target="/word/styles.xml" Id="R50160aff34b54378" /><Relationship Type="http://schemas.openxmlformats.org/officeDocument/2006/relationships/hyperlink" Target="https://meteor.aihw.gov.au/content/775852" TargetMode="External" Id="R0bb7317777714958" /><Relationship Type="http://schemas.openxmlformats.org/officeDocument/2006/relationships/hyperlink" Target="https://meteor.aihw.gov.au/RegistrationAuthority/12" TargetMode="External" Id="R81a608487d4645e2" /><Relationship Type="http://schemas.openxmlformats.org/officeDocument/2006/relationships/hyperlink" Target="https://meteor.aihw.gov.au/content/495909" TargetMode="External" Id="R7aafa78b27014208" /><Relationship Type="http://schemas.openxmlformats.org/officeDocument/2006/relationships/hyperlink" Target="https://meteor.aihw.gov.au/content/680996" TargetMode="External" Id="R09cf0756ee374740" /><Relationship Type="http://schemas.openxmlformats.org/officeDocument/2006/relationships/hyperlink" Target="https://meteor.aihw.gov.au/content/748503" TargetMode="External" Id="R92e58a2782e64170" /><Relationship Type="http://schemas.openxmlformats.org/officeDocument/2006/relationships/hyperlink" Target="https://meteor.aihw.gov.au/content/495909" TargetMode="External" Id="R7e80914c2d9c4469" /><Relationship Type="http://schemas.openxmlformats.org/officeDocument/2006/relationships/hyperlink" Target="https://meteor.aihw.gov.au/content/730829" TargetMode="External" Id="R477fe55c85c0449a" /><Relationship Type="http://schemas.openxmlformats.org/officeDocument/2006/relationships/hyperlink" Target="https://meteor.aihw.gov.au/RegistrationAuthority/12" TargetMode="External" Id="Ra472ff60a8d546ef" /><Relationship Type="http://schemas.openxmlformats.org/officeDocument/2006/relationships/hyperlink" Target="https://meteor.aihw.gov.au/content/761561" TargetMode="External" Id="R50a4f960cf6c48b9" /><Relationship Type="http://schemas.openxmlformats.org/officeDocument/2006/relationships/hyperlink" Target="https://meteor.aihw.gov.au/RegistrationAuthority/12" TargetMode="External" Id="Ra164bbff9eb44cd5" /><Relationship Type="http://schemas.openxmlformats.org/officeDocument/2006/relationships/hyperlink" Target="https://meteor.aihw.gov.au/content/764207" TargetMode="External" Id="R2381827fd13c417f" /><Relationship Type="http://schemas.openxmlformats.org/officeDocument/2006/relationships/hyperlink" Target="https://meteor.aihw.gov.au/RegistrationAuthority/12" TargetMode="External" Id="R64b579fddd534322" /><Relationship Type="http://schemas.openxmlformats.org/officeDocument/2006/relationships/hyperlink" Target="https://meteor.aihw.gov.au/content/756208" TargetMode="External" Id="R19bab99333a7474c" /><Relationship Type="http://schemas.openxmlformats.org/officeDocument/2006/relationships/hyperlink" Target="https://meteor.aihw.gov.au/RegistrationAuthority/12" TargetMode="External" Id="Rd3d441c1e35740af" /><Relationship Type="http://schemas.openxmlformats.org/officeDocument/2006/relationships/hyperlink" Target="https://meteor.aihw.gov.au/content/745689" TargetMode="External" Id="R4f00c513f5e14987" /><Relationship Type="http://schemas.openxmlformats.org/officeDocument/2006/relationships/hyperlink" Target="https://meteor.aihw.gov.au/content/775778" TargetMode="External" Id="Ra353a1df669c4583" /><Relationship Type="http://schemas.openxmlformats.org/officeDocument/2006/relationships/hyperlink" Target="https://meteor.aihw.gov.au/RegistrationAuthority/12" TargetMode="External" Id="Ra698ddbf1ccf494d" /><Relationship Type="http://schemas.openxmlformats.org/officeDocument/2006/relationships/hyperlink" Target="https://meteor.aihw.gov.au/content/745689" TargetMode="External" Id="R379ab4b1c1d8499f" /><Relationship Type="http://schemas.openxmlformats.org/officeDocument/2006/relationships/hyperlink" Target="https://meteor.aihw.gov.au/content/757052" TargetMode="External" Id="R00f388d74f8347cd" /><Relationship Type="http://schemas.openxmlformats.org/officeDocument/2006/relationships/hyperlink" Target="https://meteor.aihw.gov.au/RegistrationAuthority/12" TargetMode="External" Id="Rdcff124997d844c0" /><Relationship Type="http://schemas.openxmlformats.org/officeDocument/2006/relationships/hyperlink" Target="https://docs.validator.com.au/nocc/02.10/collection-protocol.html#" TargetMode="External" Id="R455d5d55f9704504" /><Relationship Type="http://schemas.openxmlformats.org/officeDocument/2006/relationships/hyperlink" Target="https://meteor.aihw.gov.au/RegistrationAuthority/12" TargetMode="External" Id="Rd9aaaac7869e4328" /><Relationship Type="http://schemas.openxmlformats.org/officeDocument/2006/relationships/hyperlink" Target="https://docs.validator.com.au/nocc/02.10/collection-protocol.html#" TargetMode="External" Id="R0215294fd8fc4c4f" /></Relationships>
</file>

<file path=word/_rels/header1.xml.rels>&#65279;<?xml version="1.0" encoding="utf-8"?><Relationships xmlns="http://schemas.openxmlformats.org/package/2006/relationships"><Relationship Type="http://schemas.openxmlformats.org/officeDocument/2006/relationships/image" Target="/media/image.png" Id="R6179a32bf7f44e3a" /></Relationships>
</file>