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065fbd2d14ea6"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 - Activities of Daily Living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 - Activities of Daily Living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46711d5c44145">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w:t>
            </w:r>
            <w:hyperlink w:tooltip="An assessment of patient motor function." w:history="true" r:id="R538e0d7901314814">
              <w:r>
                <w:rPr>
                  <w:rStyle w:val="Hyperlink"/>
                  <w:b/>
                </w:rPr>
                <w:t xml:space="preserve">Resource Utilisation Groups-Activities of Daily Living</w:t>
              </w:r>
            </w:hyperlink>
            <w:r>
              <w:rPr>
                <w:rStyle w:val="row-content-rich-text"/>
              </w:rPr>
              <w:t xml:space="preserve"> (RUG-ADL)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c5b26a4e064b1b">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39e36053cc4821">
              <w:r>
                <w:rPr>
                  <w:rStyle w:val="Hyperlink"/>
                </w:rPr>
                <w:t xml:space="preserve">Resource Utilisation Groups–Activities of Daily Living total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 or supervision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Limited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Limited physical assistance or Extensive assistance/total dependence/tube fed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than two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Two or more persons physical assist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db7c80ae50684953">
              <w:r>
                <w:rPr>
                  <w:rStyle w:val="Hyperlink"/>
                  <w:b/>
                </w:rPr>
                <w:t xml:space="preserve">Resource Utilisation Groups–Activities of Daily Living</w:t>
              </w:r>
            </w:hyperlink>
            <w:r>
              <w:rPr>
                <w:rStyle w:val="row-content-rich-text"/>
              </w:rPr>
              <w:t xml:space="preserve"> (RUG-ADL) is an assessment tool that assesses a person's motor function for activities of daily living for the following four items:</w:t>
            </w:r>
          </w:p>
          <w:tbl>
            <w:tblPr>
              <w:tblStyle w:val="TableGrid"/>
              <w:tblW w:w="5000" w:type="pct"/>
              <w:tblLayout w:type="autofit"/>
            </w:tblPr>
            <w:tblGrid>
              <w:gridCol/>
              <w:gridCol/>
            </w:tblGrid>
            <w:tr>
              <w:trPr/>
              <w:tc>
                <w:tcPr>
                  <w:tcW w:w="1000" w:type="pct"/>
                  <w:vAlign w:val="top"/>
                </w:tcPr>
                <w:p>
                  <w:pPr/>
                  <w:r>
                    <w:rPr>
                      <w:rStyle w:val="row-content-rich-text"/>
                      <w:b/>
                      <w:i/>
                    </w:rPr>
                    <w:t xml:space="preserve">Item number</w:t>
                  </w:r>
                </w:p>
              </w:tc>
              <w:tc>
                <w:tcPr>
                  <w:tcW w:w="4000" w:type="pct"/>
                  <w:vAlign w:val="top"/>
                </w:tcPr>
                <w:p>
                  <w:r>
                    <w:rPr>
                      <w:b/>
                      <w:i/>
                    </w:rPr>
                    <w:t xml:space="preserve">Activity of daily living</w:t>
                  </w:r>
                </w:p>
              </w:tc>
            </w:tr>
            <w:tr>
              <w:trPr/>
              <w:tc>
                <w:tcPr>
                  <w:tcW w:w="1000" w:type="pct"/>
                  <w:vAlign w:val="top"/>
                </w:tcPr>
                <w:p>
                  <w:r>
                    <w:t xml:space="preserve">1</w:t>
                  </w:r>
                </w:p>
              </w:tc>
              <w:tc>
                <w:tcPr>
                  <w:tcW w:w="4000" w:type="pct"/>
                  <w:vAlign w:val="top"/>
                </w:tcPr>
                <w:p>
                  <w:r>
                    <w:t xml:space="preserve">Bed mobility</w:t>
                  </w:r>
                </w:p>
              </w:tc>
            </w:tr>
            <w:tr>
              <w:trPr/>
              <w:tc>
                <w:tcPr>
                  <w:tcW w:w="1000" w:type="pct"/>
                  <w:vAlign w:val="top"/>
                </w:tcPr>
                <w:p>
                  <w:r>
                    <w:t xml:space="preserve">2</w:t>
                  </w:r>
                </w:p>
              </w:tc>
              <w:tc>
                <w:tcPr>
                  <w:tcW w:w="4000" w:type="pct"/>
                  <w:vAlign w:val="top"/>
                </w:tcPr>
                <w:p>
                  <w:r>
                    <w:t xml:space="preserve">Toileting</w:t>
                  </w:r>
                </w:p>
              </w:tc>
            </w:tr>
            <w:tr>
              <w:trPr/>
              <w:tc>
                <w:tcPr>
                  <w:tcW w:w="1000" w:type="pct"/>
                  <w:vAlign w:val="top"/>
                </w:tcPr>
                <w:p>
                  <w:r>
                    <w:t xml:space="preserve">3</w:t>
                  </w:r>
                </w:p>
              </w:tc>
              <w:tc>
                <w:tcPr>
                  <w:tcW w:w="4000" w:type="pct"/>
                  <w:vAlign w:val="top"/>
                </w:tcPr>
                <w:p>
                  <w:r>
                    <w:t xml:space="preserve">Transfers</w:t>
                  </w:r>
                </w:p>
              </w:tc>
            </w:tr>
            <w:tr>
              <w:trPr/>
              <w:tc>
                <w:tcPr>
                  <w:tcW w:w="1000" w:type="pct"/>
                  <w:vAlign w:val="top"/>
                </w:tcPr>
                <w:p>
                  <w:r>
                    <w:t xml:space="preserve">4</w:t>
                  </w:r>
                </w:p>
              </w:tc>
              <w:tc>
                <w:tcPr>
                  <w:tcW w:w="4000" w:type="pct"/>
                  <w:vAlign w:val="top"/>
                </w:tcPr>
                <w:p>
                  <w:r>
                    <w:t xml:space="preserve">Eating</w:t>
                  </w:r>
                </w:p>
              </w:tc>
            </w:tr>
          </w:tbl>
          <w:p>
            <w:r>
              <w:t xml:space="preserve">Values 1, 3, 4 and 5 are valid for items 1, 2 and 3.</w:t>
            </w:r>
          </w:p>
          <w:p>
            <w:r>
              <w:t xml:space="preserve">Values 1, 2 and 3 are valid for item 4.</w:t>
            </w:r>
          </w:p>
          <w:p>
            <w:r>
              <w:t xml:space="preserve">CODE 1     Independent or supervision only</w:t>
            </w:r>
          </w:p>
          <w:p>
            <w:r>
              <w:t xml:space="preserve">Tasks/transfers are performed independently or with prompting from carer. No hands-on assistance is required and may be undertaken independently with the use of a device. Specifically for the activity Eating, value 1 refers to the ability to cut, chew and swallow food, independently or with supervision, once meal has been presented in the customary fashion. </w:t>
            </w:r>
          </w:p>
          <w:p>
            <w:r>
              <w:t xml:space="preserve">CODE 2     Limited assistance</w:t>
            </w:r>
          </w:p>
          <w:p>
            <w:r>
              <w:t xml:space="preserve">Refers to the act of assistance without manual handling. It is used for the activity Eating and is not eligible for other activities.</w:t>
            </w:r>
          </w:p>
          <w:p>
            <w:r>
              <w:t xml:space="preserve">CODE 3     Limited physical assistance or Extensive assistance/total dependence/tube fed</w:t>
            </w:r>
          </w:p>
          <w:p>
            <w:r>
              <w:t xml:space="preserve">For activities Bed mobility, Toileting, and Transfer value 3 refers to the act of assistance requiring manual handling (hence the inclusion of 'physical' in the title). For the activity Eating, value 3 refers to more significant assistance with feeding either through physical assistance or the use of medical assistance.</w:t>
            </w:r>
          </w:p>
          <w:p>
            <w:r>
              <w:t xml:space="preserve">CODE 4     Other than two persons physical assist</w:t>
            </w:r>
          </w:p>
          <w:p>
            <w:r>
              <w:t xml:space="preserve">For activities Bed mobility, Toileting and Transfers value 4 refers to the use of a device for assistance and may require the additional assistance of only one other person. For the activity Bed mobility value 4 refers to use of a hoist or other assisting device to readjust position in bed and physical assist pressure relief. For the activity Toileting value 4 refers to the use of a catheter, uridome or urinal, or a colostomy, bedpan or commode chair, or insertion of enema or suppository. For the activity Transfer value 4 requires the use of a device for any of the transfers performed in the day or night. Value 4 is not eligible for the activity Eating.</w:t>
            </w:r>
          </w:p>
          <w:p>
            <w:r>
              <w:t xml:space="preserve">CODE 5     Two or more persons physical assist</w:t>
            </w:r>
          </w:p>
          <w:p>
            <w:r>
              <w:t xml:space="preserve">Refers to the requirement of two assistants to perform any step of the task/transfer. Value 5 is not eligible for the activity Eating.</w:t>
            </w:r>
          </w:p>
          <w:p>
            <w:r>
              <w:t xml:space="preserve">Scores are summed for the four ADL items: Bed mobility, Toileting, Transfer and Eating. A total RUG-ADL scores ranges from a minimum 4 and maximum 18.</w:t>
            </w:r>
          </w:p>
          <w:p>
            <w:r>
              <w:t xml:space="preserve">CODE 7     Unable to rate (insufficient information)</w:t>
            </w:r>
          </w:p>
          <w:p>
            <w:r>
              <w:t xml:space="preserve">This code should be used when the assessor does not have enough information to provide a rating.</w:t>
            </w:r>
          </w:p>
          <w:p>
            <w:r>
              <w:t xml:space="preserve">CODE 9     Not stated/missing</w:t>
            </w:r>
          </w:p>
          <w:p>
            <w:r>
              <w:t xml:space="preserve">This code should be used where no rating has been provided or the rating provided is indecipherable.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Foley WJ, Gavazzi M, Burke R &amp; Cornelius E 1994. Refining a case-mix measure for nursing homes: Resource Utilization Groups (RUG-III). Medical Care 32(7):668–685.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9d313f34764a89">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24b37f93c6ad41a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edc3345c6e7e42a4">
              <w:r>
                <w:rPr>
                  <w:rStyle w:val="Hyperlink"/>
                </w:rPr>
                <w:t xml:space="preserve">Collection occasion—survey version, mental health code XX[XXX]</w:t>
              </w:r>
            </w:hyperlink>
          </w:p>
          <w:p>
            <w:pPr>
              <w:spacing w:before="0" w:after="0"/>
            </w:pPr>
            <w:r>
              <w:rPr>
                <w:rStyle w:val="row-content"/>
                <w:color w:val="244061"/>
              </w:rPr>
              <w:t xml:space="preserve">       </w:t>
            </w:r>
            <w:hyperlink w:history="true" r:id="R7ecbcd4fb17d413f">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2d5759a5ed1a48ab">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5496b87c66974026">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dd99e10724aad">
              <w:r>
                <w:rPr>
                  <w:rStyle w:val="Hyperlink"/>
                </w:rPr>
                <w:t xml:space="preserve">Activity based funding: Mental health care NBEDS 2023–24</w:t>
              </w:r>
            </w:hyperlink>
          </w:p>
          <w:p>
            <w:pPr>
              <w:spacing w:before="0" w:after="0"/>
            </w:pPr>
            <w:r>
              <w:rPr>
                <w:rStyle w:val="row-content"/>
                <w:color w:val="244061"/>
              </w:rPr>
              <w:t xml:space="preserve">       </w:t>
            </w:r>
            <w:hyperlink w:history="true" r:id="R289f8c5668284be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the response to </w:t>
            </w:r>
            <w:hyperlink w:history="true" r:id="Rdec8886d695b46e1">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Reporting of the RUG-ADL should only be reported for patients aged 65 years and over.</w:t>
            </w:r>
          </w:p>
          <w:p>
            <w:r>
              <w:br/>
            </w:r>
            <w:r>
              <w:br/>
            </w:r>
            <w:hyperlink w:history="true" r:id="R463d47d27ccc4867">
              <w:r>
                <w:rPr>
                  <w:rStyle w:val="Hyperlink"/>
                </w:rPr>
                <w:t xml:space="preserve">Activity based funding: Mental health care NBEDS 2024–25</w:t>
              </w:r>
            </w:hyperlink>
          </w:p>
          <w:p>
            <w:pPr>
              <w:spacing w:before="0" w:after="0"/>
            </w:pPr>
            <w:r>
              <w:rPr>
                <w:rStyle w:val="row-content"/>
                <w:color w:val="244061"/>
              </w:rPr>
              <w:t xml:space="preserve">       </w:t>
            </w:r>
            <w:hyperlink w:history="true" r:id="Rc713ce4f1fec48f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RUG-ADL at the commencement of a mental health phase of care is mandatory for admitted and residential patients.</w:t>
            </w:r>
          </w:p>
          <w:p>
            <w:r>
              <w:rPr>
                <w:rStyle w:val="row-content"/>
              </w:rPr>
              <w:t xml:space="preserve">Reporting of the RUG-ADL is not mandatory if the response to </w:t>
            </w:r>
            <w:hyperlink w:history="true" r:id="Rb5dd0f240ab74a04">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Reporting of the RUG-ADL should only be reported for patients aged 65 years and over.</w:t>
            </w:r>
          </w:p>
          <w:p>
            <w:r>
              <w:br/>
            </w:r>
            <w:r>
              <w:br/>
            </w:r>
            <w:hyperlink w:history="true" r:id="Rb3ceb66374e74eed">
              <w:r>
                <w:rPr>
                  <w:rStyle w:val="Hyperlink"/>
                </w:rPr>
                <w:t xml:space="preserve">National Outcomes and Casemix Collection NBEDS 2023-24</w:t>
              </w:r>
            </w:hyperlink>
          </w:p>
          <w:p>
            <w:pPr>
              <w:spacing w:before="0" w:after="0"/>
            </w:pPr>
            <w:r>
              <w:rPr>
                <w:rStyle w:val="row-content"/>
                <w:color w:val="244061"/>
              </w:rPr>
              <w:t xml:space="preserve">       </w:t>
            </w:r>
            <w:hyperlink w:history="true" r:id="R6f4308ba72b6479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and residential </w:t>
            </w:r>
          </w:p>
          <w:p>
            <w:r>
              <w:rPr>
                <w:rStyle w:val="row-content"/>
              </w:rPr>
              <w:t xml:space="preserve">Occasion: admission and review</w:t>
            </w:r>
          </w:p>
          <w:p>
            <w:r>
              <w:rPr>
                <w:rStyle w:val="row-content"/>
              </w:rPr>
              <w:t xml:space="preserve">Age group: older persons</w:t>
            </w:r>
          </w:p>
          <w:p>
            <w:r>
              <w:rPr>
                <w:rStyle w:val="row-content"/>
              </w:rPr>
              <w:t xml:space="preserve">For more information on setting, occasion, or age groups, see the </w:t>
            </w:r>
            <w:hyperlink w:history="true" r:id="R938eccba3c5e41cf">
              <w:r>
                <w:rPr>
                  <w:rStyle w:val="Hyperlink"/>
                </w:rPr>
                <w:t xml:space="preserve">NOCC collection protocol</w:t>
              </w:r>
            </w:hyperlink>
            <w:r>
              <w:rPr>
                <w:rStyle w:val="row-content"/>
              </w:rPr>
              <w:t xml:space="preserve"> (Australian Mental Health Outcomes and Classifications Network, 2022).</w:t>
            </w:r>
          </w:p>
          <w:p>
            <w:r>
              <w:br/>
            </w:r>
            <w:r>
              <w:rPr>
                <w:rStyle w:val="row-content"/>
                <w:b/>
                <w:i/>
              </w:rPr>
              <w:t xml:space="preserve">DSS specific information: </w:t>
            </w:r>
          </w:p>
          <w:p>
            <w:r>
              <w:rPr>
                <w:rStyle w:val="row-content"/>
              </w:rPr>
              <w:t xml:space="preserve">For use in the NOCC, the following labels apply:</w:t>
            </w:r>
          </w:p>
          <w:p>
            <w:r>
              <w:rPr>
                <w:rStyle w:val="row-content"/>
                <w:b/>
              </w:rPr>
              <w:t xml:space="preserve">RUG-ADL item numbers 1, 2 &amp; 3 </w:t>
            </w:r>
          </w:p>
          <w:tbl>
            <w:tblPr>
              <w:tblStyle w:val="TableGrid"/>
              <w:tblW w:w="5000" w:type="pct"/>
              <w:tblLayout w:type="autofit"/>
            </w:tblPr>
            <w:tblGrid>
              <w:gridCol/>
              <w:gridCol/>
            </w:tblGrid>
            <w:tr>
              <w:trPr/>
              <w:tc>
                <w:tcPr>
                  <w:tcW w:w="1000" w:type="pct"/>
                  <w:vAlign w:val="top"/>
                </w:tcPr>
                <w:p>
                  <w:r>
                    <w:rPr>
                      <w:rStyle w:val="row-content"/>
                    </w:rPr>
                    <w:t xml:space="preserve">1:</w:t>
                  </w:r>
                </w:p>
              </w:tc>
              <w:tc>
                <w:tcPr>
                  <w:tcW w:w="4000" w:type="pct"/>
                  <w:vAlign w:val="top"/>
                </w:tcPr>
                <w:p>
                  <w:r>
                    <w:rPr>
                      <w:rStyle w:val="row-content"/>
                    </w:rPr>
                    <w:t xml:space="preserve">Independent or supervision only</w:t>
                  </w:r>
                </w:p>
              </w:tc>
            </w:tr>
            <w:tr>
              <w:trPr/>
              <w:tc>
                <w:tcPr>
                  <w:tcW w:w="1000" w:type="pct"/>
                  <w:vAlign w:val="top"/>
                </w:tcPr>
                <w:p>
                  <w:r>
                    <w:t xml:space="preserve">3:</w:t>
                  </w:r>
                </w:p>
              </w:tc>
              <w:tc>
                <w:tcPr>
                  <w:tcW w:w="4000" w:type="pct"/>
                  <w:vAlign w:val="top"/>
                </w:tcPr>
                <w:p>
                  <w:r>
                    <w:t xml:space="preserve">Limited physical assistance</w:t>
                  </w:r>
                </w:p>
              </w:tc>
            </w:tr>
            <w:tr>
              <w:trPr/>
              <w:tc>
                <w:tcPr>
                  <w:tcW w:w="1000" w:type="pct"/>
                  <w:vAlign w:val="top"/>
                </w:tcPr>
                <w:p>
                  <w:r>
                    <w:t xml:space="preserve">4:</w:t>
                  </w:r>
                </w:p>
              </w:tc>
              <w:tc>
                <w:tcPr>
                  <w:tcW w:w="4000" w:type="pct"/>
                  <w:vAlign w:val="top"/>
                </w:tcPr>
                <w:p>
                  <w:r>
                    <w:t xml:space="preserve">Other than 2 - person physical assistance</w:t>
                  </w:r>
                </w:p>
              </w:tc>
            </w:tr>
            <w:tr>
              <w:trPr/>
              <w:tc>
                <w:tcPr>
                  <w:tcW w:w="1000" w:type="pct"/>
                  <w:vAlign w:val="top"/>
                </w:tcPr>
                <w:p>
                  <w:r>
                    <w:t xml:space="preserve">5:</w:t>
                  </w:r>
                </w:p>
              </w:tc>
              <w:tc>
                <w:tcPr>
                  <w:tcW w:w="4000" w:type="pct"/>
                  <w:vAlign w:val="top"/>
                </w:tcPr>
                <w:p>
                  <w:r>
                    <w:t xml:space="preserve">2 - person physical assistance</w:t>
                  </w:r>
                </w:p>
              </w:tc>
            </w:tr>
            <w:tr>
              <w:trPr/>
              <w:tc>
                <w:tcPr>
                  <w:tcW w:w="1000" w:type="pct"/>
                  <w:vAlign w:val="top"/>
                </w:tcPr>
                <w:p>
                  <w:r>
                    <w:t xml:space="preserve">7:</w:t>
                  </w:r>
                </w:p>
              </w:tc>
              <w:tc>
                <w:tcPr>
                  <w:tcW w:w="4000" w:type="pct"/>
                  <w:vAlign w:val="top"/>
                </w:tcPr>
                <w:p>
                  <w:r>
                    <w:t xml:space="preserve">Unable to rate (insufficient information)</w:t>
                  </w:r>
                </w:p>
              </w:tc>
            </w:tr>
            <w:tr>
              <w:trPr/>
              <w:tc>
                <w:tcPr>
                  <w:tcW w:w="1000" w:type="pct"/>
                  <w:vAlign w:val="top"/>
                </w:tcPr>
                <w:p>
                  <w:r>
                    <w:t xml:space="preserve">9:</w:t>
                  </w:r>
                </w:p>
              </w:tc>
              <w:tc>
                <w:tcPr>
                  <w:tcW w:w="4000" w:type="pct"/>
                  <w:vAlign w:val="top"/>
                </w:tcPr>
                <w:p>
                  <w:r>
                    <w:t xml:space="preserve">Not stated / Missing</w:t>
                  </w:r>
                </w:p>
              </w:tc>
            </w:tr>
          </w:tbl>
          <w:p>
            <w:r>
              <w:t xml:space="preserve"> </w:t>
            </w:r>
          </w:p>
          <w:p>
            <w:r>
              <w:rPr>
                <w:b/>
              </w:rPr>
              <w:t xml:space="preserve">RUG-ADL item number 4</w:t>
            </w:r>
          </w:p>
          <w:tbl>
            <w:tblPr>
              <w:tblStyle w:val="TableGrid"/>
              <w:tblW w:w="5000" w:type="pct"/>
              <w:tblLayout w:type="autofit"/>
            </w:tblPr>
            <w:tblGrid>
              <w:gridCol/>
            </w:tblGrid>
            <w:tr>
              <w:trPr/>
              <w:tc>
                <w:tcPr>
                  <w:tcW w:w="5000" w:type="pct"/>
                  <w:vAlign w:val="top"/>
                </w:tcPr>
                <w:tbl>
                  <w:tblPr>
                    <w:tblStyle w:val="InnerTable"/>
                    <w:tblW w:w="5000" w:type="pct"/>
                    <w:tblLayout w:type="autofit"/>
                  </w:tblPr>
                  <w:tblGrid>
                    <w:gridCol/>
                    <w:gridCol/>
                  </w:tblGrid>
                  <w:tr>
                    <w:trPr/>
                    <w:tc>
                      <w:tcPr>
                        <w:tcW w:w="1000" w:type="pct"/>
                        <w:vAlign w:val="top"/>
                      </w:tcPr>
                      <w:p>
                        <w:r>
                          <w:t xml:space="preserve"> </w:t>
                        </w:r>
                        <w:r>
                          <w:t xml:space="preserve">1:</w:t>
                        </w:r>
                      </w:p>
                    </w:tc>
                    <w:tc>
                      <w:tcPr>
                        <w:tcW w:w="4000" w:type="pct"/>
                        <w:vAlign w:val="top"/>
                      </w:tcPr>
                      <w:p>
                        <w:r>
                          <w:t xml:space="preserve">Independent or supervision only</w:t>
                        </w:r>
                      </w:p>
                    </w:tc>
                  </w:tr>
                  <w:tr>
                    <w:trPr/>
                    <w:tc>
                      <w:tcPr>
                        <w:tcW w:w="1000" w:type="pct"/>
                        <w:vAlign w:val="top"/>
                      </w:tcPr>
                      <w:p>
                        <w:r>
                          <w:t xml:space="preserve">2:</w:t>
                        </w:r>
                      </w:p>
                    </w:tc>
                    <w:tc>
                      <w:tcPr>
                        <w:tcW w:w="4000" w:type="pct"/>
                        <w:vAlign w:val="top"/>
                      </w:tcPr>
                      <w:p>
                        <w:r>
                          <w:t xml:space="preserve">Limited assistance</w:t>
                        </w:r>
                      </w:p>
                    </w:tc>
                  </w:tr>
                  <w:tr>
                    <w:trPr/>
                    <w:tc>
                      <w:tcPr>
                        <w:tcW w:w="1000" w:type="pct"/>
                        <w:vAlign w:val="top"/>
                      </w:tcPr>
                      <w:p>
                        <w:r>
                          <w:t xml:space="preserve">3:</w:t>
                        </w:r>
                      </w:p>
                    </w:tc>
                    <w:tc>
                      <w:tcPr>
                        <w:tcW w:w="4000" w:type="pct"/>
                        <w:vAlign w:val="top"/>
                      </w:tcPr>
                      <w:p>
                        <w:r>
                          <w:t xml:space="preserve">Extensive assistance / Total dependence / Tube fed</w:t>
                        </w:r>
                      </w:p>
                    </w:tc>
                  </w:tr>
                  <w:tr>
                    <w:trPr/>
                    <w:tc>
                      <w:tcPr>
                        <w:tcW w:w="1000" w:type="pct"/>
                        <w:vAlign w:val="top"/>
                      </w:tcPr>
                      <w:p>
                        <w:r>
                          <w:t xml:space="preserve">7:</w:t>
                        </w:r>
                      </w:p>
                    </w:tc>
                    <w:tc>
                      <w:tcPr>
                        <w:tcW w:w="4000" w:type="pct"/>
                        <w:vAlign w:val="top"/>
                      </w:tcPr>
                      <w:p>
                        <w:r>
                          <w:t xml:space="preserve">Unable to rate (insufficient information)</w:t>
                        </w:r>
                      </w:p>
                    </w:tc>
                  </w:tr>
                  <w:tr>
                    <w:trPr/>
                    <w:tc>
                      <w:tcPr>
                        <w:tcW w:w="1000" w:type="pct"/>
                        <w:vAlign w:val="top"/>
                      </w:tcPr>
                      <w:p>
                        <w:r>
                          <w:t xml:space="preserve">9:</w:t>
                        </w:r>
                      </w:p>
                    </w:tc>
                    <w:tc>
                      <w:tcPr>
                        <w:tcW w:w="4000" w:type="pct"/>
                        <w:vAlign w:val="top"/>
                      </w:tcPr>
                      <w:p>
                        <w:r>
                          <w:t xml:space="preserve">Not stated / Missing</w:t>
                        </w:r>
                      </w:p>
                    </w:tc>
                  </w:tr>
                </w:tbl>
                <w:p/>
              </w:tc>
            </w:tr>
          </w:tbl>
          <w:p>
            <w:pPr>
              <w:spacing w:before="0" w:after="0"/>
            </w:pPr>
            <w:r>
              <w:rPr>
                <w:color w:val="244061"/>
              </w:rPr>
              <w:t xml:space="preserve">       </w:t>
            </w:r>
            <w:hyperlink w:history="true" r:id="R11f85630eea24626">
              <w:r>
                <w:rPr>
                  <w:rStyle w:val="Hyperlink"/>
                  <w:color w:val="244061"/>
                </w:rPr>
                <w:t xml:space="preserve">Health</w:t>
              </w:r>
            </w:hyperlink>
            <w:r>
              <w:rPr>
                <w:color w:val="244061"/>
              </w:rPr>
              <w:t xml:space="preserve">, Standard 06/12/2023</w:t>
            </w:r>
          </w:p>
          <w:p>
            <w:r>
              <w:rPr>
                <w:b/>
                <w:i/>
              </w:rPr>
              <w:t xml:space="preserve">Implementation start date: </w:t>
            </w:r>
            <w:r>
              <w:t xml:space="preserve">01/07/2024</w:t>
            </w:r>
            <w:r>
              <w:br/>
            </w:r>
            <w:r>
              <w:rPr>
                <w:b/>
                <w:i/>
              </w:rPr>
              <w:t xml:space="preserve">Implementation end date: </w:t>
            </w:r>
            <w:r>
              <w:t xml:space="preserve">30/06/2025</w:t>
            </w:r>
            <w:r>
              <w:br/>
            </w:r>
            <w:r>
              <w:rPr>
                <w:b/>
                <w:i/>
              </w:rPr>
              <w:t xml:space="preserve">Conditional obligation: </w:t>
            </w:r>
          </w:p>
          <w:p>
            <w:r>
              <w:t xml:space="preserve">In the National Outcomes and Casemix Collection (NOCC) NBEDS, this data element should be collected where:</w:t>
            </w:r>
          </w:p>
          <w:p>
            <w:r>
              <w:t xml:space="preserve">Setting: inpatient and residential </w:t>
            </w:r>
          </w:p>
          <w:p>
            <w:r>
              <w:t xml:space="preserve">Occasion: admission and review</w:t>
            </w:r>
          </w:p>
          <w:p>
            <w:r>
              <w:t xml:space="preserve">Age group: older persons</w:t>
            </w:r>
          </w:p>
          <w:p>
            <w:r>
              <w:t xml:space="preserve">For more information on setting, occasion, or age groups, see the </w:t>
            </w:r>
            <w:hyperlink w:history="true" r:id="R7de7ba14ab5e4269">
              <w:r>
                <w:rPr>
                  <w:rStyle w:val="Hyperlink"/>
                </w:rPr>
                <w:t xml:space="preserve">NOCC collection protocol</w:t>
              </w:r>
            </w:hyperlink>
            <w:r>
              <w:t xml:space="preserve"> (Australian Mental Health Outcomes and Classifications Network, 2022).</w:t>
            </w:r>
          </w:p>
          <w:p>
            <w:r>
              <w:br/>
            </w:r>
            <w:r>
              <w:rPr>
                <w:b/>
                <w:i/>
              </w:rPr>
              <w:t xml:space="preserve">DSS specific information: </w:t>
            </w:r>
          </w:p>
          <w:p>
            <w:r>
              <w:t xml:space="preserve">For use in the NOCC, the following labels apply:</w:t>
            </w:r>
          </w:p>
          <w:p>
            <w:r>
              <w:rPr>
                <w:b/>
              </w:rPr>
              <w:t xml:space="preserve">RUG-ADL item numbers 1, 2 &amp; 3 </w:t>
            </w:r>
          </w:p>
          <w:tbl>
            <w:tblPr>
              <w:tblStyle w:val="TableGrid"/>
              <w:tblW w:w="5000" w:type="pct"/>
              <w:tblLayout w:type="autofit"/>
            </w:tblPr>
            <w:tblGrid>
              <w:gridCol/>
              <w:gridCol/>
            </w:tblGrid>
            <w:tr>
              <w:trPr/>
              <w:tc>
                <w:tcPr>
                  <w:tcW w:w="1000" w:type="pct"/>
                  <w:vAlign w:val="top"/>
                </w:tcPr>
                <w:p>
                  <w:r>
                    <w:t xml:space="preserve">1:</w:t>
                  </w:r>
                </w:p>
              </w:tc>
              <w:tc>
                <w:tcPr>
                  <w:tcW w:w="4000" w:type="pct"/>
                  <w:vAlign w:val="top"/>
                </w:tcPr>
                <w:p>
                  <w:r>
                    <w:t xml:space="preserve">Independent or supervision only</w:t>
                  </w:r>
                </w:p>
              </w:tc>
            </w:tr>
            <w:tr>
              <w:trPr/>
              <w:tc>
                <w:tcPr>
                  <w:tcW w:w="1000" w:type="pct"/>
                  <w:vAlign w:val="top"/>
                </w:tcPr>
                <w:p>
                  <w:r>
                    <w:t xml:space="preserve">3:</w:t>
                  </w:r>
                </w:p>
              </w:tc>
              <w:tc>
                <w:tcPr>
                  <w:tcW w:w="4000" w:type="pct"/>
                  <w:vAlign w:val="top"/>
                </w:tcPr>
                <w:p>
                  <w:r>
                    <w:t xml:space="preserve">Limited physical assistance</w:t>
                  </w:r>
                </w:p>
              </w:tc>
            </w:tr>
            <w:tr>
              <w:trPr/>
              <w:tc>
                <w:tcPr>
                  <w:tcW w:w="1000" w:type="pct"/>
                  <w:vAlign w:val="top"/>
                </w:tcPr>
                <w:p>
                  <w:r>
                    <w:t xml:space="preserve">4:</w:t>
                  </w:r>
                </w:p>
              </w:tc>
              <w:tc>
                <w:tcPr>
                  <w:tcW w:w="4000" w:type="pct"/>
                  <w:vAlign w:val="top"/>
                </w:tcPr>
                <w:p>
                  <w:r>
                    <w:t xml:space="preserve">Other than 2 - person physical assistance</w:t>
                  </w:r>
                </w:p>
              </w:tc>
            </w:tr>
            <w:tr>
              <w:trPr/>
              <w:tc>
                <w:tcPr>
                  <w:tcW w:w="1000" w:type="pct"/>
                  <w:vAlign w:val="top"/>
                </w:tcPr>
                <w:p>
                  <w:r>
                    <w:t xml:space="preserve">5:</w:t>
                  </w:r>
                </w:p>
              </w:tc>
              <w:tc>
                <w:tcPr>
                  <w:tcW w:w="4000" w:type="pct"/>
                  <w:vAlign w:val="top"/>
                </w:tcPr>
                <w:p>
                  <w:r>
                    <w:t xml:space="preserve">2 - person physical assistance</w:t>
                  </w:r>
                </w:p>
              </w:tc>
            </w:tr>
            <w:tr>
              <w:trPr/>
              <w:tc>
                <w:tcPr>
                  <w:tcW w:w="1000" w:type="pct"/>
                  <w:vAlign w:val="top"/>
                </w:tcPr>
                <w:p>
                  <w:r>
                    <w:t xml:space="preserve">7:</w:t>
                  </w:r>
                </w:p>
              </w:tc>
              <w:tc>
                <w:tcPr>
                  <w:tcW w:w="4000" w:type="pct"/>
                  <w:vAlign w:val="top"/>
                </w:tcPr>
                <w:p>
                  <w:r>
                    <w:t xml:space="preserve">Unable to rate (insufficient information)</w:t>
                  </w:r>
                </w:p>
              </w:tc>
            </w:tr>
            <w:tr>
              <w:trPr/>
              <w:tc>
                <w:tcPr>
                  <w:tcW w:w="1000" w:type="pct"/>
                  <w:vAlign w:val="top"/>
                </w:tcPr>
                <w:p>
                  <w:r>
                    <w:t xml:space="preserve">9:</w:t>
                  </w:r>
                </w:p>
              </w:tc>
              <w:tc>
                <w:tcPr>
                  <w:tcW w:w="4000" w:type="pct"/>
                  <w:vAlign w:val="top"/>
                </w:tcPr>
                <w:p>
                  <w:r>
                    <w:t xml:space="preserve">Not stated / Missing</w:t>
                  </w:r>
                </w:p>
              </w:tc>
            </w:tr>
          </w:tbl>
          <w:p>
            <w:r>
              <w:t xml:space="preserve"> </w:t>
            </w:r>
          </w:p>
          <w:p>
            <w:r>
              <w:rPr>
                <w:b/>
              </w:rPr>
              <w:t xml:space="preserve">RUG-ADL item number 4</w:t>
            </w:r>
          </w:p>
          <w:tbl>
            <w:tblPr>
              <w:tblStyle w:val="TableGrid"/>
              <w:tblW w:w="5000" w:type="pct"/>
              <w:tblLayout w:type="autofit"/>
            </w:tblPr>
            <w:tblGrid>
              <w:gridCol/>
            </w:tblGrid>
            <w:tr>
              <w:trPr/>
              <w:tc>
                <w:tcPr>
                  <w:tcW w:w="5000" w:type="pct"/>
                  <w:vAlign w:val="top"/>
                </w:tcPr>
                <w:tbl>
                  <w:tblPr>
                    <w:tblStyle w:val="InnerTable"/>
                    <w:tblW w:w="5000" w:type="pct"/>
                    <w:tblLayout w:type="autofit"/>
                  </w:tblPr>
                  <w:tblGrid>
                    <w:gridCol/>
                    <w:gridCol/>
                  </w:tblGrid>
                  <w:tr>
                    <w:trPr/>
                    <w:tc>
                      <w:tcPr>
                        <w:tcW w:w="1000" w:type="pct"/>
                        <w:vAlign w:val="top"/>
                      </w:tcPr>
                      <w:p>
                        <w:r>
                          <w:t xml:space="preserve"> </w:t>
                        </w:r>
                        <w:r>
                          <w:t xml:space="preserve">1:</w:t>
                        </w:r>
                      </w:p>
                    </w:tc>
                    <w:tc>
                      <w:tcPr>
                        <w:tcW w:w="4000" w:type="pct"/>
                        <w:vAlign w:val="top"/>
                      </w:tcPr>
                      <w:p>
                        <w:r>
                          <w:t xml:space="preserve">Independent or supervision only</w:t>
                        </w:r>
                      </w:p>
                    </w:tc>
                  </w:tr>
                  <w:tr>
                    <w:trPr/>
                    <w:tc>
                      <w:tcPr>
                        <w:tcW w:w="1000" w:type="pct"/>
                        <w:vAlign w:val="top"/>
                      </w:tcPr>
                      <w:p>
                        <w:r>
                          <w:t xml:space="preserve">2:</w:t>
                        </w:r>
                      </w:p>
                    </w:tc>
                    <w:tc>
                      <w:tcPr>
                        <w:tcW w:w="4000" w:type="pct"/>
                        <w:vAlign w:val="top"/>
                      </w:tcPr>
                      <w:p>
                        <w:r>
                          <w:t xml:space="preserve">Limited assistance</w:t>
                        </w:r>
                      </w:p>
                    </w:tc>
                  </w:tr>
                  <w:tr>
                    <w:trPr/>
                    <w:tc>
                      <w:tcPr>
                        <w:tcW w:w="1000" w:type="pct"/>
                        <w:vAlign w:val="top"/>
                      </w:tcPr>
                      <w:p>
                        <w:r>
                          <w:t xml:space="preserve">3:</w:t>
                        </w:r>
                      </w:p>
                    </w:tc>
                    <w:tc>
                      <w:tcPr>
                        <w:tcW w:w="4000" w:type="pct"/>
                        <w:vAlign w:val="top"/>
                      </w:tcPr>
                      <w:p>
                        <w:r>
                          <w:t xml:space="preserve">Extensive assistance / Total dependence / Tube fed</w:t>
                        </w:r>
                      </w:p>
                    </w:tc>
                  </w:tr>
                  <w:tr>
                    <w:trPr/>
                    <w:tc>
                      <w:tcPr>
                        <w:tcW w:w="1000" w:type="pct"/>
                        <w:vAlign w:val="top"/>
                      </w:tcPr>
                      <w:p>
                        <w:r>
                          <w:t xml:space="preserve">7:</w:t>
                        </w:r>
                      </w:p>
                    </w:tc>
                    <w:tc>
                      <w:tcPr>
                        <w:tcW w:w="4000" w:type="pct"/>
                        <w:vAlign w:val="top"/>
                      </w:tcPr>
                      <w:p>
                        <w:r>
                          <w:t xml:space="preserve">Unable to rate (insufficient information)</w:t>
                        </w:r>
                      </w:p>
                    </w:tc>
                  </w:tr>
                  <w:tr>
                    <w:trPr/>
                    <w:tc>
                      <w:tcPr>
                        <w:tcW w:w="1000" w:type="pct"/>
                        <w:vAlign w:val="top"/>
                      </w:tcPr>
                      <w:p>
                        <w:r>
                          <w:t xml:space="preserve">9:</w:t>
                        </w:r>
                      </w:p>
                    </w:tc>
                    <w:tc>
                      <w:tcPr>
                        <w:tcW w:w="4000" w:type="pct"/>
                        <w:vAlign w:val="top"/>
                      </w:tcPr>
                      <w:p>
                        <w:r>
                          <w:t xml:space="preserve">Not stated / Missing</w:t>
                        </w:r>
                      </w:p>
                    </w:tc>
                  </w:tr>
                </w:tbl>
                <w:p/>
              </w:tc>
            </w:tr>
          </w:tbl>
          <w:p>
            <w:r>
              <w:br/>
            </w:r>
            <w:r>
              <w:br/>
            </w:r>
          </w:p>
        </w:tc>
      </w:tr>
    </w:tbl>
    <w:p/>
    <w:tbl>
      <w:tblPr>
        <w:tblStyle w:val="TableGrid"/>
        <w:tblW w:w="0" w:type="auto"/>
      </w:tblPr>
    </w:tbl>
    <w:p>
      <w:r>
        <w:br/>
      </w:r>
    </w:p>
    <w:sectPr>
      <w:footerReference xmlns:r="http://schemas.openxmlformats.org/officeDocument/2006/relationships" w:type="default" r:id="R8d8d8d6490494f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748505</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6085063a341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d8d6490494fb3" /><Relationship Type="http://schemas.openxmlformats.org/officeDocument/2006/relationships/header" Target="/word/header1.xml" Id="R2d9184d5e7b9422f" /><Relationship Type="http://schemas.openxmlformats.org/officeDocument/2006/relationships/settings" Target="/word/settings.xml" Id="R477aea02fa644f50" /><Relationship Type="http://schemas.openxmlformats.org/officeDocument/2006/relationships/styles" Target="/word/styles.xml" Id="R0a778d652e764627" /><Relationship Type="http://schemas.openxmlformats.org/officeDocument/2006/relationships/hyperlink" Target="https://meteor.aihw.gov.au/RegistrationAuthority/12" TargetMode="External" Id="R2c846711d5c44145" /><Relationship Type="http://schemas.openxmlformats.org/officeDocument/2006/relationships/hyperlink" Target="https://meteor.aihw.gov.au/content/495909" TargetMode="External" Id="R538e0d7901314814" /><Relationship Type="http://schemas.openxmlformats.org/officeDocument/2006/relationships/hyperlink" Target="https://meteor.aihw.gov.au/content/680996" TargetMode="External" Id="Rd8c5b26a4e064b1b" /><Relationship Type="http://schemas.openxmlformats.org/officeDocument/2006/relationships/hyperlink" Target="https://meteor.aihw.gov.au/content/748503" TargetMode="External" Id="R5839e36053cc4821" /><Relationship Type="http://schemas.openxmlformats.org/officeDocument/2006/relationships/hyperlink" Target="https://meteor.aihw.gov.au/content/495909" TargetMode="External" Id="Rdb7c80ae50684953" /><Relationship Type="http://schemas.openxmlformats.org/officeDocument/2006/relationships/hyperlink" Target="https://meteor.aihw.gov.au/content/730829" TargetMode="External" Id="Re69d313f34764a89" /><Relationship Type="http://schemas.openxmlformats.org/officeDocument/2006/relationships/hyperlink" Target="https://meteor.aihw.gov.au/RegistrationAuthority/12" TargetMode="External" Id="R24b37f93c6ad41a1" /><Relationship Type="http://schemas.openxmlformats.org/officeDocument/2006/relationships/hyperlink" Target="https://meteor.aihw.gov.au/content/761561" TargetMode="External" Id="Redc3345c6e7e42a4" /><Relationship Type="http://schemas.openxmlformats.org/officeDocument/2006/relationships/hyperlink" Target="https://meteor.aihw.gov.au/RegistrationAuthority/12" TargetMode="External" Id="R7ecbcd4fb17d413f" /><Relationship Type="http://schemas.openxmlformats.org/officeDocument/2006/relationships/hyperlink" Target="https://meteor.aihw.gov.au/content/764207" TargetMode="External" Id="R2d5759a5ed1a48ab" /><Relationship Type="http://schemas.openxmlformats.org/officeDocument/2006/relationships/hyperlink" Target="https://meteor.aihw.gov.au/RegistrationAuthority/12" TargetMode="External" Id="R5496b87c66974026" /><Relationship Type="http://schemas.openxmlformats.org/officeDocument/2006/relationships/hyperlink" Target="https://meteor.aihw.gov.au/content/756208" TargetMode="External" Id="Rc8edd99e10724aad" /><Relationship Type="http://schemas.openxmlformats.org/officeDocument/2006/relationships/hyperlink" Target="https://meteor.aihw.gov.au/RegistrationAuthority/12" TargetMode="External" Id="R289f8c5668284be8" /><Relationship Type="http://schemas.openxmlformats.org/officeDocument/2006/relationships/hyperlink" Target="https://meteor.aihw.gov.au/content/745689" TargetMode="External" Id="Rdec8886d695b46e1" /><Relationship Type="http://schemas.openxmlformats.org/officeDocument/2006/relationships/hyperlink" Target="https://meteor.aihw.gov.au/content/775778" TargetMode="External" Id="R463d47d27ccc4867" /><Relationship Type="http://schemas.openxmlformats.org/officeDocument/2006/relationships/hyperlink" Target="https://meteor.aihw.gov.au/RegistrationAuthority/12" TargetMode="External" Id="Rc713ce4f1fec48f6" /><Relationship Type="http://schemas.openxmlformats.org/officeDocument/2006/relationships/hyperlink" Target="https://meteor.aihw.gov.au/content/745689" TargetMode="External" Id="Rb5dd0f240ab74a04" /><Relationship Type="http://schemas.openxmlformats.org/officeDocument/2006/relationships/hyperlink" Target="https://meteor.aihw.gov.au/content/757052" TargetMode="External" Id="Rb3ceb66374e74eed" /><Relationship Type="http://schemas.openxmlformats.org/officeDocument/2006/relationships/hyperlink" Target="https://meteor.aihw.gov.au/RegistrationAuthority/12" TargetMode="External" Id="R6f4308ba72b64791" /><Relationship Type="http://schemas.openxmlformats.org/officeDocument/2006/relationships/hyperlink" Target="https://docs.validator.com.au/nocc/02.10/collection-protocol.html#" TargetMode="External" Id="R938eccba3c5e41cf" /><Relationship Type="http://schemas.openxmlformats.org/officeDocument/2006/relationships/hyperlink" Target="https://meteor.aihw.gov.au/content/775852" TargetMode="External" Id="R216f5c03d9894d75" /><Relationship Type="http://schemas.openxmlformats.org/officeDocument/2006/relationships/hyperlink" Target="https://meteor.aihw.gov.au/RegistrationAuthority/12" TargetMode="External" Id="R11f85630eea24626" /><Relationship Type="http://schemas.openxmlformats.org/officeDocument/2006/relationships/hyperlink" Target="https://docs.validator.com.au/nocc/02.10/collection-protocol.html#" TargetMode="External" Id="R7de7ba14ab5e4269" /></Relationships>
</file>

<file path=word/_rels/header1.xml.rels>&#65279;<?xml version="1.0" encoding="utf-8"?><Relationships xmlns="http://schemas.openxmlformats.org/package/2006/relationships"><Relationship Type="http://schemas.openxmlformats.org/officeDocument/2006/relationships/image" Target="/media/image.png" Id="R2fc6085063a341f4" /></Relationships>
</file>