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92474c67e5460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18b5391f54a8e">
              <w:r>
                <w:rPr>
                  <w:rStyle w:val="Hyperlink"/>
                  <w:color w:val="244061"/>
                </w:rPr>
                <w:t xml:space="preserve">AIHW Data Quality Statements</w:t>
              </w:r>
            </w:hyperlink>
            <w:r>
              <w:rPr>
                <w:rStyle w:val="row-content"/>
                <w:color w:val="244061"/>
              </w:rPr>
              <w:t xml:space="preserve">, Superseded 04/02/2022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p>
            <w:pPr>
              <w:pStyle w:val="ListParagraph"/>
              <w:numPr>
                <w:ilvl w:val="0"/>
                <w:numId w:val="2"/>
              </w:numPr>
            </w:pPr>
            <w:r>
              <w:rPr>
                <w:rStyle w:val="row-content-rich-text"/>
              </w:rPr>
              <w:t xml:space="preserve">Unlike in previous periods, reporting for the June 2020 and December 2020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94508100694f28">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fa56924861740ff">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a11643f8b2e4457">
              <w:r>
                <w:rPr>
                  <w:rStyle w:val="Hyperlink"/>
                </w:rPr>
                <w:t xml:space="preserve">www.aihw.gov.au/about-us</w:t>
              </w:r>
            </w:hyperlink>
            <w:r>
              <w:rPr>
                <w:rStyle w:val="row-content-rich-text"/>
              </w:rPr>
              <w:t xml:space="preserve">, which includes details about the AIHW’s governance (</w:t>
            </w:r>
            <w:hyperlink w:history="true" r:id="Rf8b08b4da98c4c77">
              <w:r>
                <w:rPr>
                  <w:rStyle w:val="Hyperlink"/>
                </w:rPr>
                <w:t xml:space="preserve">www.aihw.gov.au/about-us/our-governance</w:t>
              </w:r>
            </w:hyperlink>
            <w:r>
              <w:rPr>
                <w:rStyle w:val="row-content-rich-text"/>
              </w:rPr>
              <w:t xml:space="preserve">) and vision and strategic goals (</w:t>
            </w:r>
            <w:hyperlink w:history="true" r:id="Rf6610eb05d8e4f1b">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2020 period, the census date was 31 December 2020 and covered, depending on the indicator, either:</w:t>
            </w:r>
          </w:p>
          <w:p>
            <w:pPr>
              <w:pStyle w:val="ListParagraph"/>
              <w:numPr>
                <w:ilvl w:val="0"/>
                <w:numId w:val="3"/>
              </w:numPr>
            </w:pPr>
            <w:r>
              <w:rPr>
                <w:rStyle w:val="row-content-rich-text"/>
              </w:rPr>
              <w:t xml:space="preserve">6 months up to the census date, that is, from 1 July 2020 to 31 December 2020, or</w:t>
            </w:r>
          </w:p>
          <w:p>
            <w:pPr>
              <w:pStyle w:val="ListParagraph"/>
              <w:numPr>
                <w:ilvl w:val="0"/>
                <w:numId w:val="3"/>
              </w:numPr>
            </w:pPr>
            <w:r>
              <w:rPr>
                <w:rStyle w:val="row-content-rich-text"/>
              </w:rPr>
              <w:t xml:space="preserve">12 months up to the census date, that is, from 1 January 2020 to 31 December 2020, or</w:t>
            </w:r>
          </w:p>
          <w:p>
            <w:pPr>
              <w:pStyle w:val="ListParagraph"/>
              <w:numPr>
                <w:ilvl w:val="0"/>
                <w:numId w:val="3"/>
              </w:numPr>
            </w:pPr>
            <w:r>
              <w:rPr>
                <w:rStyle w:val="row-content-rich-text"/>
              </w:rPr>
              <w:t xml:space="preserve">24 months up to the census date, that is, from 1 January 2019 to 31 December 2020, or</w:t>
            </w:r>
          </w:p>
          <w:p>
            <w:pPr>
              <w:pStyle w:val="ListParagraph"/>
              <w:numPr>
                <w:ilvl w:val="0"/>
                <w:numId w:val="3"/>
              </w:numPr>
            </w:pPr>
            <w:r>
              <w:rPr>
                <w:rStyle w:val="row-content-rich-text"/>
              </w:rPr>
              <w:t xml:space="preserve">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December 2020 collection, data submission started 1 January and data were finalised 16 March 2021.</w:t>
            </w:r>
          </w:p>
          <w:p>
            <w:pPr>
              <w:spacing w:after="160"/>
            </w:pPr>
            <w:r>
              <w:rPr>
                <w:rStyle w:val="row-content-rich-text"/>
              </w:rPr>
              <w:t xml:space="preserve">Data from the national reporting dataset were released to submitting organisations (via organisation specific reports generated by the Department of Health) 6 April 2021.</w:t>
            </w:r>
          </w:p>
          <w:p>
            <w:pPr/>
            <w:r>
              <w:rPr>
                <w:rStyle w:val="row-content-rich-text"/>
              </w:rPr>
              <w:t xml:space="preserve">Data from the national reporting dataset were released via the AIHW website 27 September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2020 are published in </w:t>
            </w:r>
            <w:hyperlink w:history="true" r:id="R4345485eb27c45b3">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ab639d51d33a4587">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fcf8fbfcf3af4b11">
              <w:r>
                <w:rPr>
                  <w:rStyle w:val="Hyperlink"/>
                </w:rPr>
                <w:t xml:space="preserve">indicator set</w:t>
              </w:r>
            </w:hyperlink>
            <w:r>
              <w:rPr>
                <w:rStyle w:val="row-content-rich-text"/>
              </w:rPr>
              <w:t xml:space="preserve"> </w:t>
            </w:r>
            <w:r>
              <w:rPr>
                <w:rStyle w:val="row-content-rich-text"/>
              </w:rPr>
              <w:t xml:space="preserve">and </w:t>
            </w:r>
            <w:hyperlink w:history="true" r:id="R8c1d6db0538b4341">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39f1314133194650">
              <w:r>
                <w:rPr>
                  <w:rStyle w:val="Hyperlink"/>
                </w:rPr>
                <w:t xml:space="preserve">Technical appendix</w:t>
              </w:r>
            </w:hyperlink>
            <w:r>
              <w:rPr>
                <w:rStyle w:val="row-content-rich-text"/>
              </w:rPr>
              <w:t xml:space="preserve"> and </w:t>
            </w:r>
            <w:hyperlink w:history="true" r:id="Rf2c4cd8135a94d5a">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December 2020 collection included 23 MCH organisations. Overall, these organisations provided valid data for PI01, PI02, PI03 (child and adult), PI04, PI11 and PI13, although not all organisations provided valid data for each indicator. Twenty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December 2020 collection is 31 December 2020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December 2020, 94.4% (218) of the organisations that were in-scope to report submitted data. Similar to the June 2020 collection, reporting for the December 2020 collection was voluntary (in acknowledgement of the additional pressures on organisations because of COVID-19).</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December 2020 collection, the AIHW returned data to 40 out of the 218 organisations who reported that period. Where unresolved data quality issues are identified, the AIHW excludes these data from the national reporting dataset. For the December 2020 collection, 6 (2.8%)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2020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December 2020 collection, data for 23 indicators were collected. The number of indicators included in the collection has changed over time. In June 2012, the collection began with 11 indicators; in June 2013, an additional 8 were added; in December 2014, 2 indicators were added; in December 2015, 1 indicator was added; in June 2017, 2 indicators were added; and in December 2020 1 indicator was retired.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rPr>
              <w:t xml:space="preserve">From December 2020, changes were made to four indicators (PI03, PI07, PI14 and PI22) and one was retired (PI08). These changes are as follows:</w:t>
            </w:r>
          </w:p>
          <w:p>
            <w:pPr>
              <w:pStyle w:val="ListParagraph"/>
              <w:numPr>
                <w:ilvl w:val="0"/>
                <w:numId w:val="5"/>
              </w:numPr>
            </w:pPr>
            <w:r>
              <w:rPr>
                <w:rStyle w:val="row-content-rich-text"/>
              </w:rPr>
              <w:t xml:space="preserve">PI03 MBS health assessments: addition of the 5–14 age group and disaggregation by sex for children, addition of the 15–24 age group for adults, and changes to MBS items included. MBS items collected are now:</w:t>
            </w:r>
            <w:r>
              <w:br/>
            </w:r>
            <w:r>
              <w:rPr>
                <w:rStyle w:val="row-content-rich-text"/>
              </w:rPr>
              <w:t xml:space="preserve">        • In-person MBS items: 715 and 228</w:t>
            </w:r>
            <w:r>
              <w:br/>
            </w:r>
            <w:r>
              <w:rPr>
                <w:rStyle w:val="row-content-rich-text"/>
              </w:rPr>
              <w:t xml:space="preserve">        • Telehealth MBS items: 92004, 92016, 92011 and 92023.</w:t>
            </w:r>
          </w:p>
          <w:p>
            <w:pPr>
              <w:pStyle w:val="ListParagraph"/>
              <w:numPr>
                <w:ilvl w:val="0"/>
                <w:numId w:val="5"/>
              </w:numPr>
            </w:pPr>
            <w:r>
              <w:rPr>
                <w:rStyle w:val="row-content-rich-text"/>
              </w:rPr>
              <w:t xml:space="preserve">PI07 Chronic Disease Management Plan: changes to MBS items included. MBS items collected are now:</w:t>
            </w:r>
            <w:r>
              <w:br/>
            </w:r>
            <w:r>
              <w:rPr>
                <w:rStyle w:val="row-content-rich-text"/>
              </w:rPr>
              <w:t xml:space="preserve">        • In-person MBS items: 721 and 229</w:t>
            </w:r>
            <w:r>
              <w:br/>
            </w:r>
            <w:r>
              <w:rPr>
                <w:rStyle w:val="row-content-rich-text"/>
              </w:rPr>
              <w:t xml:space="preserve">        • Telehealth MBS items: 92024, 92068, 92055, and 92099.</w:t>
            </w:r>
          </w:p>
          <w:p>
            <w:pPr>
              <w:pStyle w:val="ListParagraph"/>
              <w:numPr>
                <w:ilvl w:val="0"/>
                <w:numId w:val="5"/>
              </w:numPr>
            </w:pPr>
            <w:r>
              <w:rPr>
                <w:rStyle w:val="row-content-rich-text"/>
              </w:rPr>
              <w:t xml:space="preserve">PI08 Team Care Arrangement: this indicator has been retired and is no longer collected.</w:t>
            </w:r>
          </w:p>
          <w:p>
            <w:pPr>
              <w:pStyle w:val="ListParagraph"/>
              <w:numPr>
                <w:ilvl w:val="0"/>
                <w:numId w:val="5"/>
              </w:numPr>
            </w:pPr>
            <w:r>
              <w:rPr>
                <w:rStyle w:val="row-content-rich-text"/>
              </w:rPr>
              <w:t xml:space="preserve">PI14 Immunised against influenza: now includes all ages from 6 months onwards.</w:t>
            </w:r>
          </w:p>
          <w:p>
            <w:pPr>
              <w:pStyle w:val="ListParagraph"/>
              <w:numPr>
                <w:ilvl w:val="0"/>
                <w:numId w:val="5"/>
              </w:numPr>
            </w:pPr>
            <w:r>
              <w:rPr>
                <w:rStyle w:val="row-content-rich-text"/>
              </w:rPr>
              <w:t xml:space="preserve">PI22 Cervical screening: screening method changed to include HPV tests only, age range changed to 25–74, and time interval for accepted tests changed to be within the previous 5 years or where the test occurred on or after 01 December 2017.</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6"/>
              </w:numPr>
            </w:pPr>
            <w:r>
              <w:rPr>
                <w:rStyle w:val="row-content-rich-text"/>
              </w:rPr>
              <w:t xml:space="preserve">the organisations that are funded to provide services vary between periods</w:t>
            </w:r>
          </w:p>
          <w:p>
            <w:pPr>
              <w:pStyle w:val="ListParagraph"/>
              <w:numPr>
                <w:ilvl w:val="0"/>
                <w:numId w:val="6"/>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Reporting for the December 2020 collection was voluntary; however, the majority of organisations reported.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7"/>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ee94433e324340e8">
              <w:r>
                <w:rPr>
                  <w:rStyle w:val="Hyperlink"/>
                </w:rPr>
                <w:t xml:space="preserve">Indigenous primary health care key performance indicators (June 2016) DQS</w:t>
              </w:r>
            </w:hyperlink>
            <w:r>
              <w:rPr>
                <w:rStyle w:val="row-content-rich-text"/>
              </w:rPr>
              <w:t xml:space="preserve">.</w:t>
            </w:r>
          </w:p>
          <w:p>
            <w:pPr>
              <w:pStyle w:val="ListParagraph"/>
              <w:numPr>
                <w:ilvl w:val="0"/>
                <w:numId w:val="7"/>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e5753f6bec5d412c">
              <w:r>
                <w:rPr>
                  <w:rStyle w:val="Hyperlink"/>
                </w:rPr>
                <w:t xml:space="preserve">Indigenous primary health care key performance indicators (December 2017)</w:t>
              </w:r>
            </w:hyperlink>
            <w:hyperlink w:history="true" r:id="R087e0d5dc60b4919">
              <w:r>
                <w:rPr>
                  <w:rStyle w:val="Hyperlink"/>
                </w:rPr>
                <w:t xml:space="preserve"> DQS</w:t>
              </w:r>
            </w:hyperlink>
            <w:r>
              <w:rPr>
                <w:rStyle w:val="row-content-rich-text"/>
              </w:rPr>
              <w:t xml:space="preserve">.</w:t>
            </w:r>
          </w:p>
          <w:p>
            <w:pPr>
              <w:pStyle w:val="ListParagraph"/>
              <w:numPr>
                <w:ilvl w:val="0"/>
                <w:numId w:val="7"/>
              </w:numPr>
            </w:pPr>
            <w:r>
              <w:rPr>
                <w:rStyle w:val="row-content-rich-text"/>
              </w:rPr>
              <w:t xml:space="preserve">Data for June 2017 onwards are comparable. Data quality issues affected the comparability of indicators PI18—Kidney function test recorded and PI19—Kidney function tests in June 2017 to June 2019. For more details see the </w:t>
            </w:r>
            <w:hyperlink w:history="true" r:id="R4a10bdf3c4f54eb8">
              <w:r>
                <w:rPr>
                  <w:rStyle w:val="Hyperlink"/>
                </w:rPr>
                <w:t xml:space="preserve">Indigenous primary health care key performance indicators (June 2019)</w:t>
              </w:r>
            </w:hyperlink>
            <w:r>
              <w:rPr>
                <w:rStyle w:val="row-content-rich-text"/>
              </w:rPr>
              <w:t xml:space="preserve"> DQS.</w:t>
            </w:r>
          </w:p>
          <w:p>
            <w:pPr>
              <w:pStyle w:val="ListParagraph"/>
              <w:numPr>
                <w:ilvl w:val="0"/>
                <w:numId w:val="7"/>
              </w:numPr>
            </w:pPr>
            <w:r>
              <w:rPr>
                <w:rStyle w:val="row-content-rich-text"/>
              </w:rPr>
              <w:t xml:space="preserve">From June 2018, the definition of a regular client excludes deceased patients.</w:t>
            </w:r>
          </w:p>
          <w:p>
            <w:pPr>
              <w:pStyle w:val="ListParagraph"/>
              <w:numPr>
                <w:ilvl w:val="0"/>
                <w:numId w:val="7"/>
              </w:numPr>
            </w:pPr>
            <w:r>
              <w:rPr>
                <w:rStyle w:val="row-content-rich-text"/>
              </w:rPr>
              <w:t xml:space="preserve">From the December 2018 collection onwards organisations submitted data via the HDP. For more information see the </w:t>
            </w:r>
            <w:hyperlink w:history="true" r:id="R37ef02fda7914806">
              <w:r>
                <w:rPr>
                  <w:rStyle w:val="Hyperlink"/>
                </w:rPr>
                <w:t xml:space="preserve">Indigenous primary health care key performance indicators (December 2018)</w:t>
              </w:r>
            </w:hyperlink>
            <w:r>
              <w:rPr>
                <w:rStyle w:val="row-content-rich-text"/>
              </w:rPr>
              <w:t xml:space="preserve"> DQS.</w:t>
            </w:r>
          </w:p>
          <w:p>
            <w:pPr>
              <w:pStyle w:val="ListParagraph"/>
              <w:numPr>
                <w:ilvl w:val="0"/>
                <w:numId w:val="7"/>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ef7834e8419243a3">
              <w:r>
                <w:rPr>
                  <w:rStyle w:val="Hyperlink"/>
                </w:rPr>
                <w:t xml:space="preserve">Indigenous primary health care key performance indicators (June 2019)</w:t>
              </w:r>
            </w:hyperlink>
            <w:r>
              <w:rPr>
                <w:rStyle w:val="row-content-rich-text"/>
              </w:rPr>
              <w:t xml:space="preserve"> DQS.</w:t>
            </w:r>
          </w:p>
          <w:p>
            <w:pPr>
              <w:spacing w:after="160"/>
            </w:pPr>
            <w:r>
              <w:rPr>
                <w:rStyle w:val="row-content-rich-text"/>
              </w:rPr>
              <w:t xml:space="preserve">CVD risk calculators embedded in some CISs do not capture all the data needed to apply the full NVDPA risk assessment algorithm. Data from organisations using CISs that do not capture all the necessary data may underestimate the number of clients at high CVD risk. Therefore data for PI21 for all affected organisations are excluded from AIHW national reporting in all periods.</w:t>
            </w:r>
          </w:p>
          <w:p>
            <w:pPr>
              <w:pStyle w:val="ListParagraph"/>
              <w:numPr>
                <w:ilvl w:val="0"/>
                <w:numId w:val="7"/>
              </w:numPr>
            </w:pPr>
            <w:r>
              <w:rPr>
                <w:rStyle w:val="row-content-rich-text"/>
              </w:rPr>
              <w:t xml:space="preserve">AIHW were advised that data from 1 CIS had issues for PI09, PI10, PI11, PI16 and PI17 prior to December 2019. For more information see the </w:t>
            </w:r>
            <w:hyperlink w:history="true" r:id="R1b14b3569e6e44b7">
              <w:r>
                <w:rPr>
                  <w:rStyle w:val="Hyperlink"/>
                </w:rPr>
                <w:t xml:space="preserve">Indigenous primary health care key performance indicators (December 2019)</w:t>
              </w:r>
            </w:hyperlink>
            <w:r>
              <w:rPr>
                <w:rStyle w:val="row-content-rich-text"/>
              </w:rPr>
              <w:t xml:space="preserve"> DQS.</w:t>
            </w:r>
          </w:p>
          <w:p>
            <w:pPr>
              <w:pStyle w:val="ListParagraph"/>
              <w:numPr>
                <w:ilvl w:val="0"/>
                <w:numId w:val="7"/>
              </w:numPr>
            </w:pPr>
            <w:r>
              <w:rPr>
                <w:rStyle w:val="row-content-rich-text"/>
              </w:rPr>
              <w:t xml:space="preserve">In December 2020, for some CIS there may be double-counting of ‘In-person’ and ‘Telehealth’ attendance for PI03 and PI07 for organisations that submitted before these issues were resolved. The impact of this on the data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19515f96a46cf">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575c64510b404e55">
              <w:r>
                <w:rPr>
                  <w:rStyle w:val="Hyperlink"/>
                  <w:color w:val="244061"/>
                </w:rPr>
                <w:t xml:space="preserve">AIHW Data Quality Statements</w:t>
              </w:r>
            </w:hyperlink>
            <w:r>
              <w:rPr>
                <w:rStyle w:val="row-content"/>
                <w:color w:val="244061"/>
              </w:rPr>
              <w:t xml:space="preserve">, Superseded 27/09/2021</w:t>
            </w:r>
          </w:p>
          <w:p>
            <w:r>
              <w:br/>
            </w:r>
            <w:r>
              <w:rPr>
                <w:rStyle w:val="row-content"/>
              </w:rPr>
              <w:t xml:space="preserve">Has been superseded by </w:t>
            </w:r>
            <w:hyperlink w:history="true" r:id="Rdefb6925c15b49bd">
              <w:r>
                <w:rPr>
                  <w:rStyle w:val="Hyperlink"/>
                </w:rPr>
                <w:t xml:space="preserve">Indigenous primary health care key performance indicators (June 2021)</w:t>
              </w:r>
            </w:hyperlink>
          </w:p>
          <w:p>
            <w:pPr>
              <w:spacing w:before="0" w:after="0"/>
            </w:pPr>
            <w:r>
              <w:rPr>
                <w:rStyle w:val="row-content"/>
                <w:color w:val="244061"/>
              </w:rPr>
              <w:t xml:space="preserve">       </w:t>
            </w:r>
            <w:hyperlink w:history="true" r:id="Rae97a42e0768495f">
              <w:r>
                <w:rPr>
                  <w:rStyle w:val="Hyperlink"/>
                  <w:color w:val="244061"/>
                </w:rPr>
                <w:t xml:space="preserve">AIHW Data Quality Statements</w:t>
              </w:r>
            </w:hyperlink>
            <w:r>
              <w:rPr>
                <w:rStyle w:val="row-content"/>
                <w:color w:val="244061"/>
              </w:rPr>
              <w:t xml:space="preserve">, Superseded 10/06/2022</w:t>
            </w:r>
          </w:p>
          <w:p>
            <w:r>
              <w:br/>
            </w:r>
          </w:p>
        </w:tc>
      </w:tr>
    </w:tbl>
    <w:p>
      <w:r>
        <w:br/>
      </w:r>
    </w:p>
    <w:sectPr>
      <w:footerReference xmlns:r="http://schemas.openxmlformats.org/officeDocument/2006/relationships" w:type="default" r:id="R1df1030b600d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73e9fc4a2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1030b600d47d9" /><Relationship Type="http://schemas.openxmlformats.org/officeDocument/2006/relationships/header" Target="/word/header1.xml" Id="Re37acad790344296" /><Relationship Type="http://schemas.openxmlformats.org/officeDocument/2006/relationships/settings" Target="/word/settings.xml" Id="Rff4658dac7394062" /><Relationship Type="http://schemas.openxmlformats.org/officeDocument/2006/relationships/styles" Target="/word/styles.xml" Id="Rdd722f54fdb24d42" /><Relationship Type="http://schemas.openxmlformats.org/officeDocument/2006/relationships/hyperlink" Target="https://meteor.aihw.gov.au/RegistrationAuthority/5" TargetMode="External" Id="R08218b5391f54a8e" /><Relationship Type="http://schemas.openxmlformats.org/officeDocument/2006/relationships/numbering" Target="/word/numbering.xml" Id="R532f07cf35cd4361" /><Relationship Type="http://schemas.openxmlformats.org/officeDocument/2006/relationships/hyperlink" Target="http://www.comlaw.gov.au/Series/C2004A03450" TargetMode="External" Id="Ra894508100694f28" /><Relationship Type="http://schemas.openxmlformats.org/officeDocument/2006/relationships/hyperlink" Target="http://www.comlaw.gov.au/Details/C2011C00503" TargetMode="External" Id="R3fa56924861740ff" /><Relationship Type="http://schemas.openxmlformats.org/officeDocument/2006/relationships/hyperlink" Target="https://meteor.aihw.gov.au/www.aihw.gov.au/about-us" TargetMode="External" Id="Rba11643f8b2e4457" /><Relationship Type="http://schemas.openxmlformats.org/officeDocument/2006/relationships/hyperlink" Target="https://meteor.aihw.gov.au/www.aihw.gov.au/about-us/our-governance" TargetMode="External" Id="Rf8b08b4da98c4c77" /><Relationship Type="http://schemas.openxmlformats.org/officeDocument/2006/relationships/hyperlink" Target="https://meteor.aihw.gov.au/www.aihw.gov.au/about-us/our-vision-and-strategic-goals" TargetMode="External" Id="Rf6610eb05d8e4f1b" /><Relationship Type="http://schemas.openxmlformats.org/officeDocument/2006/relationships/hyperlink" Target="https://www.aihw.gov.au/reports/indigenous-australians/indigenous-primary-health-care-results-osr-nkpi/overview/summary" TargetMode="External" Id="R4345485eb27c45b3" /><Relationship Type="http://schemas.openxmlformats.org/officeDocument/2006/relationships/hyperlink" Target="https://www.aihw.gov.au/our-services/data-on-request" TargetMode="External" Id="Rab639d51d33a4587" /><Relationship Type="http://schemas.openxmlformats.org/officeDocument/2006/relationships/hyperlink" Target="https://meteor.aihw.gov.au/content/731839" TargetMode="External" Id="Rfcf8fbfcf3af4b11" /><Relationship Type="http://schemas.openxmlformats.org/officeDocument/2006/relationships/hyperlink" Target="https://meteor.aihw.gov.au/content/738532" TargetMode="External" Id="R8c1d6db0538b4341" /><Relationship Type="http://schemas.openxmlformats.org/officeDocument/2006/relationships/hyperlink" Target="https://www.aihw.gov.au/reports/indigenous-australians/indigenous-primary-health-care-results-osr-nkpi/technical-appendix/technical-notes" TargetMode="External" Id="R39f1314133194650" /><Relationship Type="http://schemas.openxmlformats.org/officeDocument/2006/relationships/hyperlink" Target="https://www.aihw.gov.au/reports/indigenous-australians/indigenous-primary-health-care-results-osr-nkpi/data" TargetMode="External" Id="Rf2c4cd8135a94d5a" /><Relationship Type="http://schemas.openxmlformats.org/officeDocument/2006/relationships/hyperlink" Target="https://meteor.aihw.gov.au/content/672769" TargetMode="External" Id="Ree94433e324340e8" /><Relationship Type="http://schemas.openxmlformats.org/officeDocument/2006/relationships/hyperlink" Target="https://meteor.aihw.gov.au/content/706629" TargetMode="External" Id="Re5753f6bec5d412c" /><Relationship Type="http://schemas.openxmlformats.org/officeDocument/2006/relationships/hyperlink" Target="https://meteor.aihw.gov.au/content/672769" TargetMode="External" Id="R087e0d5dc60b4919" /><Relationship Type="http://schemas.openxmlformats.org/officeDocument/2006/relationships/hyperlink" Target="https://meteor.aihw.gov.au/content/743387" TargetMode="External" Id="R4a10bdf3c4f54eb8" /><Relationship Type="http://schemas.openxmlformats.org/officeDocument/2006/relationships/hyperlink" Target="https://meteor.aihw.gov.au/content/743252" TargetMode="External" Id="R37ef02fda7914806" /><Relationship Type="http://schemas.openxmlformats.org/officeDocument/2006/relationships/hyperlink" Target="https://meteor.aihw.gov.au/content/743387" TargetMode="External" Id="Ref7834e8419243a3" /><Relationship Type="http://schemas.openxmlformats.org/officeDocument/2006/relationships/hyperlink" Target="https://meteor.aihw.gov.au/content/743402" TargetMode="External" Id="R1b14b3569e6e44b7" /><Relationship Type="http://schemas.openxmlformats.org/officeDocument/2006/relationships/hyperlink" Target="https://meteor.aihw.gov.au/content/743433" TargetMode="External" Id="Re5d19515f96a46cf" /><Relationship Type="http://schemas.openxmlformats.org/officeDocument/2006/relationships/hyperlink" Target="https://meteor.aihw.gov.au/RegistrationAuthority/5" TargetMode="External" Id="R575c64510b404e55" /><Relationship Type="http://schemas.openxmlformats.org/officeDocument/2006/relationships/hyperlink" Target="https://meteor.aihw.gov.au/content/752838" TargetMode="External" Id="Rdefb6925c15b49bd" /><Relationship Type="http://schemas.openxmlformats.org/officeDocument/2006/relationships/hyperlink" Target="https://meteor.aihw.gov.au/RegistrationAuthority/5" TargetMode="External" Id="Rae97a42e0768495f" /></Relationships>
</file>

<file path=word/_rels/header1.xml.rels>&#65279;<?xml version="1.0" encoding="utf-8"?><Relationships xmlns="http://schemas.openxmlformats.org/package/2006/relationships"><Relationship Type="http://schemas.openxmlformats.org/officeDocument/2006/relationships/image" Target="/media/image.png" Id="R41173e9fc4a24cda" /></Relationships>
</file>