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3d3efab8f4def" /></Relationships>
</file>

<file path=word/document.xml><?xml version="1.0" encoding="utf-8"?>
<w:document xmlns:r="http://schemas.openxmlformats.org/officeDocument/2006/relationships" xmlns:w="http://schemas.openxmlformats.org/wordprocessingml/2006/main">
  <w:body>
    <w:p>
      <w:pPr>
        <w:pStyle w:val="Title"/>
      </w:pPr>
      <w:r>
        <w:t>Address—statistical area, level 1 (SA1) code (ASGS Edition 3) N(11)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Address—statistical area, level 1 (SA1) code (ASGS Edition 3) N(11)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Statistical area level 1 (SA1)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e9ebc1bb934418">
              <w:r>
                <w:rPr>
                  <w:rStyle w:val="Hyperlink"/>
                  <w:color w:val="244061"/>
                </w:rPr>
                <w:t xml:space="preserve">Aged Care</w:t>
              </w:r>
            </w:hyperlink>
            <w:r>
              <w:rPr>
                <w:rStyle w:val="row-content"/>
                <w:color w:val="244061"/>
              </w:rPr>
              <w:t xml:space="preserve">, Standard 30/06/2023</w:t>
            </w:r>
          </w:p>
          <w:p>
            <w:pPr>
              <w:spacing w:before="0" w:after="0"/>
            </w:pPr>
            <w:hyperlink w:history="true" r:id="Rab225116ff2349dc">
              <w:r>
                <w:rPr>
                  <w:rStyle w:val="Hyperlink"/>
                  <w:color w:val="244061"/>
                </w:rPr>
                <w:t xml:space="preserve">Early Childhood</w:t>
              </w:r>
            </w:hyperlink>
            <w:r>
              <w:rPr>
                <w:rStyle w:val="row-content"/>
                <w:color w:val="244061"/>
              </w:rPr>
              <w:t xml:space="preserve">, Standard 15/08/2023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designated region representing the smallest unit for the release of Census data used for describing a location,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de1bd35804949">
              <w:r>
                <w:rPr>
                  <w:rStyle w:val="Hyperlink"/>
                </w:rPr>
                <w:t xml:space="preserve">Address—statistical area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f22ecfc80714c34">
              <w:r>
                <w:rPr>
                  <w:rStyle w:val="Hyperlink"/>
                </w:rPr>
                <w:t xml:space="preserve">Statistical Area Level 1 (SA1) code (ASGS Edition 3) N(11)</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4e626eab93fb4234">
              <w:r>
                <w:rPr>
                  <w:rStyle w:val="Hyperlink"/>
                </w:rPr>
                <w:t xml:space="preserve">Australian Statistical Geography Standard Edition 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 coding structure:</w:t>
            </w:r>
          </w:p>
          <w:p>
            <w:pPr>
              <w:spacing w:after="160"/>
            </w:pPr>
            <w:r>
              <w:rPr>
                <w:rStyle w:val="row-content-rich-text"/>
              </w:rPr>
              <w:t xml:space="preserve">SA1s are identified by an 11-digit fully hierarchical code. The SA1 identifier is a 2-digit code, assigned within a Statistical area level 2 (SA2).</w:t>
            </w:r>
          </w:p>
          <w:tbl>
            <w:tblPr>
              <w:tblStyle w:val="TableGrid"/>
              <w:tblW w:w="5000" w:type="pct"/>
              <w:tblLayout w:type="autofit"/>
            </w:tblPr>
            <w:tblGrid>
              <w:gridCol/>
              <w:gridCol/>
              <w:gridCol/>
              <w:gridCol/>
              <w:gridCol/>
            </w:tblGrid>
            <w:tr>
              <w:trPr/>
              <w:tc>
                <w:tcPr>
                  <w:tcW w:w="2150" w:type="pct"/>
                  <w:vAlign w:val="top"/>
                </w:tcPr>
                <w:p>
                  <w:pPr/>
                  <w:r>
                    <w:rPr>
                      <w:rStyle w:val="row-content-rich-text"/>
                    </w:rPr>
                    <w:t xml:space="preserve"> </w:t>
                  </w:r>
                  <w:r>
                    <w:rPr>
                      <w:rStyle w:val="row-content-rich-text"/>
                    </w:rPr>
                    <w:t xml:space="preserve">State/territory</w:t>
                  </w:r>
                </w:p>
              </w:tc>
              <w:tc>
                <w:tcPr>
                  <w:tcW w:w="600" w:type="pct"/>
                  <w:vAlign w:val="top"/>
                </w:tcPr>
                <w:p>
                  <w:r>
                    <w:t xml:space="preserve">SA4</w:t>
                  </w:r>
                </w:p>
              </w:tc>
              <w:tc>
                <w:tcPr>
                  <w:tcW w:w="600" w:type="pct"/>
                  <w:vAlign w:val="top"/>
                </w:tcPr>
                <w:p>
                  <w:r>
                    <w:t xml:space="preserve">SA3</w:t>
                  </w:r>
                </w:p>
              </w:tc>
              <w:tc>
                <w:tcPr>
                  <w:tcW w:w="850" w:type="pct"/>
                  <w:vAlign w:val="top"/>
                </w:tcPr>
                <w:p>
                  <w:r>
                    <w:t xml:space="preserve">SA2</w:t>
                  </w:r>
                </w:p>
              </w:tc>
              <w:tc>
                <w:tcPr>
                  <w:tcW w:w="600" w:type="pct"/>
                  <w:vAlign w:val="top"/>
                </w:tcPr>
                <w:p>
                  <w:r>
                    <w:t xml:space="preserve">SA1</w:t>
                  </w:r>
                </w:p>
              </w:tc>
            </w:tr>
            <w:tr>
              <w:trPr/>
              <w:tc>
                <w:tcPr>
                  <w:tcW w:w="2150" w:type="pct"/>
                  <w:vAlign w:val="top"/>
                </w:tcPr>
                <w:p>
                  <w:r>
                    <w:t xml:space="preserve">N</w:t>
                  </w:r>
                </w:p>
              </w:tc>
              <w:tc>
                <w:tcPr>
                  <w:tcW w:w="600" w:type="pct"/>
                  <w:vAlign w:val="top"/>
                </w:tcPr>
                <w:p>
                  <w:r>
                    <w:t xml:space="preserve">NN</w:t>
                  </w:r>
                </w:p>
              </w:tc>
              <w:tc>
                <w:tcPr>
                  <w:tcW w:w="600" w:type="pct"/>
                  <w:vAlign w:val="top"/>
                </w:tcPr>
                <w:p>
                  <w:r>
                    <w:t xml:space="preserve">NN</w:t>
                  </w:r>
                </w:p>
              </w:tc>
              <w:tc>
                <w:tcPr>
                  <w:tcW w:w="850" w:type="pct"/>
                  <w:vAlign w:val="top"/>
                </w:tcPr>
                <w:p>
                  <w:r>
                    <w:t xml:space="preserve">NNNN</w:t>
                  </w:r>
                </w:p>
              </w:tc>
              <w:tc>
                <w:tcPr>
                  <w:tcW w:w="600" w:type="pct"/>
                  <w:vAlign w:val="top"/>
                </w:tcPr>
                <w:p>
                  <w:r>
                    <w:t xml:space="preserve">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SA1s have a population of between 200 and 800 people with an average population size of approximately 400 people. SA1s in remote and regional areas generally have smaller populations than those in urban areas.</w:t>
            </w:r>
          </w:p>
          <w:p>
            <w:pPr>
              <w:spacing w:after="160"/>
            </w:pPr>
            <w:r>
              <w:rPr>
                <w:rStyle w:val="row-content-rich-text"/>
              </w:rPr>
              <w:t xml:space="preserve">There are 61,845 SA1s. In aggregate, they cover the whole of Australia without gaps or overlaps. These include 34 non-spatial SA1 special-purpose codes, comprising Migratory–Offshore–Shipping, No Usual Address, and Outside Australia.</w:t>
            </w:r>
          </w:p>
          <w:p>
            <w:pPr>
              <w:spacing w:after="160"/>
            </w:pPr>
            <w:r>
              <w:rPr>
                <w:rStyle w:val="row-content-rich-text"/>
              </w:rPr>
              <w:t xml:space="preserve">SA1s are designed to be either predominantly rural or predominantly urban in character, with SA1s in rural and remote areas generally having a lower population than in urban areas. SA1s are designed to be internally connected by road, except for groups of unpopulated islands and Aboriginal and Torres Strait Islander communities, which may not be contiguous. Areas without permanent population (such as lakes, commercial developments, national parks etc.) are often represented by 'zero SA1s' - these are SA1s with an effective design population of zero.</w:t>
            </w:r>
          </w:p>
          <w:p>
            <w:pPr/>
            <w:r>
              <w:rPr>
                <w:rStyle w:val="row-content-rich-text"/>
              </w:rPr>
              <w:t xml:space="preserve">SA1s are also used as the building blocks for a number of Australian Statistical Geography Standard (ASGS) defined regions including the Indigenous Structure, the Section of State and Urban Centre and Localities Structures, and the Remoteness Structure. Within the Non-ABS Structure, SA1s are used to approximate a number of administrative regions, such as Commonwealth Electoral Divisions and State Electoral Divisions.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Statistical Area Level 1: Australian Statistical Geography Standard (ASGS) Edition 3. Canberra: ABS.Viewed 10 August 2021. </w:t>
            </w:r>
            <w:hyperlink w:history="true" r:id="R2de00a03b3434f25">
              <w:r>
                <w:rPr>
                  <w:rStyle w:val="Hyperlink"/>
                </w:rPr>
                <w:t xml:space="preserve">www.abs.gov.au/statistics/standards/australian-statistical-geography-standard-asgs-edition-3/jul2021-jun2026/main-structure-and-greater-capital-city-statistical-areas/statistical-area-level-1</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d752f956c845c1">
              <w:r>
                <w:rPr>
                  <w:rStyle w:val="Hyperlink"/>
                </w:rPr>
                <w:t xml:space="preserve">Address—statistical area, level 1 (SA1) code (ASGS 2016) N(11)</w:t>
              </w:r>
            </w:hyperlink>
          </w:p>
          <w:p>
            <w:pPr>
              <w:spacing w:before="0" w:after="0"/>
            </w:pPr>
            <w:r>
              <w:rPr>
                <w:rStyle w:val="row-content"/>
                <w:color w:val="244061"/>
              </w:rPr>
              <w:t xml:space="preserve">       </w:t>
            </w:r>
            <w:hyperlink w:history="true" r:id="Rccce76e43b04445d">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47b3a8e265d94622">
              <w:r>
                <w:rPr>
                  <w:rStyle w:val="Hyperlink"/>
                  <w:color w:val="244061"/>
                </w:rPr>
                <w:t xml:space="preserve">Health</w:t>
              </w:r>
            </w:hyperlink>
            <w:r>
              <w:rPr>
                <w:rStyle w:val="row-content"/>
                <w:color w:val="244061"/>
              </w:rPr>
              <w:t xml:space="preserve">, Standard 06/12/2016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6f141a01b74e5d">
              <w:r>
                <w:rPr>
                  <w:rStyle w:val="Hyperlink"/>
                </w:rPr>
                <w:t xml:space="preserve">Aged care address cluster</w:t>
              </w:r>
            </w:hyperlink>
          </w:p>
          <w:p>
            <w:pPr>
              <w:spacing w:before="0" w:after="0"/>
            </w:pPr>
            <w:r>
              <w:rPr>
                <w:rStyle w:val="row-content"/>
                <w:color w:val="244061"/>
              </w:rPr>
              <w:t xml:space="preserve">       </w:t>
            </w:r>
            <w:hyperlink w:history="true" r:id="R7a554f176bd94d45">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43c864b3e32a459e">
              <w:r>
                <w:rPr>
                  <w:rStyle w:val="Hyperlink"/>
                </w:rPr>
                <w:t xml:space="preserve">Early Childhood Education and Care: Unit Record Level NMDS 2023</w:t>
              </w:r>
            </w:hyperlink>
          </w:p>
          <w:p>
            <w:pPr>
              <w:spacing w:before="0" w:after="0"/>
            </w:pPr>
            <w:r>
              <w:rPr>
                <w:rStyle w:val="row-content"/>
                <w:color w:val="244061"/>
              </w:rPr>
              <w:t xml:space="preserve">       </w:t>
            </w:r>
            <w:hyperlink w:history="true" r:id="R5f16df8fb96f4b1e">
              <w:r>
                <w:rPr>
                  <w:rStyle w:val="Hyperlink"/>
                  <w:color w:val="244061"/>
                </w:rPr>
                <w:t xml:space="preserve">Early Childhood</w:t>
              </w:r>
            </w:hyperlink>
            <w:r>
              <w:rPr>
                <w:rStyle w:val="row-content"/>
                <w:color w:val="244061"/>
              </w:rPr>
              <w:t xml:space="preserve">, Standard 15/08/2023</w:t>
            </w:r>
          </w:p>
          <w:p>
            <w:r>
              <w:rPr>
                <w:rStyle w:val="row-content"/>
                <w:b/>
                <w:i/>
              </w:rPr>
              <w:t xml:space="preserve">Implementation start date: </w:t>
            </w:r>
            <w:r>
              <w:rPr>
                <w:rStyle w:val="row-content"/>
              </w:rPr>
              <w:t xml:space="preserve">01/07/2023</w:t>
            </w:r>
            <w:r>
              <w:br/>
            </w:r>
            <w:r>
              <w:rPr>
                <w:rStyle w:val="row-content"/>
                <w:b/>
                <w:i/>
              </w:rPr>
              <w:t xml:space="preserve">DSS specific information: </w:t>
            </w:r>
          </w:p>
          <w:p>
            <w:r>
              <w:rPr>
                <w:rStyle w:val="row-content"/>
              </w:rPr>
              <w:t xml:space="preserve">This item should be collected twice: once for the child and once for the early childhood education and care service.</w:t>
            </w:r>
          </w:p>
          <w:p>
            <w:r>
              <w:rPr>
                <w:rStyle w:val="row-content"/>
                <w:b/>
              </w:rPr>
              <w:t xml:space="preserve">Child</w:t>
            </w:r>
          </w:p>
          <w:p>
            <w:r>
              <w:rPr>
                <w:rStyle w:val="row-content"/>
              </w:rP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rStyle w:val="row-content"/>
                <w:b/>
              </w:rPr>
              <w:t xml:space="preserve">Early childhood education and care service</w:t>
            </w:r>
          </w:p>
          <w:p>
            <w:r>
              <w:rPr>
                <w:rStyle w:val="row-content"/>
              </w:rP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d3a6969a60f4c1f">
              <w:r>
                <w:rPr>
                  <w:rStyle w:val="Hyperlink"/>
                  <w:b/>
                </w:rPr>
                <w:t xml:space="preserve">early childhood education program</w:t>
              </w:r>
            </w:hyperlink>
            <w:r>
              <w:rPr>
                <w:rStyle w:val="row-content"/>
              </w:rP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p>
            <w:r>
              <w:br/>
            </w:r>
            <w:r>
              <w:br/>
            </w:r>
            <w:hyperlink w:history="true" r:id="Rbfe2a5737c3a4af3">
              <w:r>
                <w:rPr>
                  <w:rStyle w:val="Hyperlink"/>
                </w:rPr>
                <w:t xml:space="preserve">Socio-Economic Indexes for Areas (SEIFA) (2021 Census, ASGS Edition 3) cluster </w:t>
              </w:r>
            </w:hyperlink>
          </w:p>
          <w:p>
            <w:pPr>
              <w:spacing w:before="0" w:after="0"/>
            </w:pPr>
            <w:r>
              <w:rPr>
                <w:rStyle w:val="row-content"/>
                <w:color w:val="244061"/>
              </w:rPr>
              <w:t xml:space="preserve">       </w:t>
            </w:r>
            <w:hyperlink w:history="true" r:id="R9bbde52c2f594264">
              <w:r>
                <w:rPr>
                  <w:rStyle w:val="Hyperlink"/>
                  <w:color w:val="244061"/>
                </w:rPr>
                <w:t xml:space="preserve">Early Childhood</w:t>
              </w:r>
            </w:hyperlink>
            <w:r>
              <w:rPr>
                <w:rStyle w:val="row-content"/>
                <w:color w:val="244061"/>
              </w:rPr>
              <w:t xml:space="preserve">, Standard 15/08/2023</w:t>
            </w:r>
          </w:p>
          <w:p>
            <w:r>
              <w:br/>
            </w:r>
          </w:p>
        </w:tc>
      </w:tr>
    </w:tbl>
    <w:p/>
    <w:tbl>
      <w:tblPr>
        <w:tblStyle w:val="TableGrid"/>
        <w:tblW w:w="0" w:type="auto"/>
      </w:tblPr>
    </w:tbl>
    <w:p>
      <w:r>
        <w:br/>
      </w:r>
    </w:p>
    <w:sectPr>
      <w:footerReference xmlns:r="http://schemas.openxmlformats.org/officeDocument/2006/relationships" w:type="default" r:id="R425222adb5ff4e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747309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68816c771a429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5222adb5ff4e28" /><Relationship Type="http://schemas.openxmlformats.org/officeDocument/2006/relationships/header" Target="/word/header1.xml" Id="R0b8426be4a0847a4" /><Relationship Type="http://schemas.openxmlformats.org/officeDocument/2006/relationships/settings" Target="/word/settings.xml" Id="R3d1e6d7b2d9640e8" /><Relationship Type="http://schemas.openxmlformats.org/officeDocument/2006/relationships/styles" Target="/word/styles.xml" Id="R44e64d9659464bfe" /><Relationship Type="http://schemas.openxmlformats.org/officeDocument/2006/relationships/hyperlink" Target="https://meteor.aihw.gov.au/RegistrationAuthority/19" TargetMode="External" Id="Rbce9ebc1bb934418" /><Relationship Type="http://schemas.openxmlformats.org/officeDocument/2006/relationships/hyperlink" Target="https://meteor.aihw.gov.au/RegistrationAuthority/13" TargetMode="External" Id="Rab225116ff2349dc" /><Relationship Type="http://schemas.openxmlformats.org/officeDocument/2006/relationships/hyperlink" Target="https://meteor.aihw.gov.au/content/660651" TargetMode="External" Id="Rc30de1bd35804949" /><Relationship Type="http://schemas.openxmlformats.org/officeDocument/2006/relationships/hyperlink" Target="https://meteor.aihw.gov.au/content/747273" TargetMode="External" Id="R2f22ecfc80714c34" /><Relationship Type="http://schemas.openxmlformats.org/officeDocument/2006/relationships/hyperlink" Target="https://meteor.aihw.gov.au/content/747163" TargetMode="External" Id="R4e626eab93fb4234" /><Relationship Type="http://schemas.openxmlformats.org/officeDocument/2006/relationships/hyperlink" Target="http://www.abs.gov.au/statistics/standards/australian-statistical-geography-standard-asgs-edition-3/jul2021-jun2026/main-structure-and-greater-capital-city-statistical-areas/statistical-area-level-1" TargetMode="External" Id="R2de00a03b3434f25" /><Relationship Type="http://schemas.openxmlformats.org/officeDocument/2006/relationships/hyperlink" Target="https://meteor.aihw.gov.au/content/660637" TargetMode="External" Id="Rcdd752f956c845c1" /><Relationship Type="http://schemas.openxmlformats.org/officeDocument/2006/relationships/hyperlink" Target="https://meteor.aihw.gov.au/RegistrationAuthority/13" TargetMode="External" Id="Rccce76e43b04445d" /><Relationship Type="http://schemas.openxmlformats.org/officeDocument/2006/relationships/hyperlink" Target="https://meteor.aihw.gov.au/RegistrationAuthority/12" TargetMode="External" Id="R47b3a8e265d94622" /><Relationship Type="http://schemas.openxmlformats.org/officeDocument/2006/relationships/hyperlink" Target="https://meteor.aihw.gov.au/content/775085" TargetMode="External" Id="Rad6f141a01b74e5d" /><Relationship Type="http://schemas.openxmlformats.org/officeDocument/2006/relationships/hyperlink" Target="https://meteor.aihw.gov.au/RegistrationAuthority/19" TargetMode="External" Id="R7a554f176bd94d45" /><Relationship Type="http://schemas.openxmlformats.org/officeDocument/2006/relationships/hyperlink" Target="https://meteor.aihw.gov.au/content/772443" TargetMode="External" Id="R43c864b3e32a459e" /><Relationship Type="http://schemas.openxmlformats.org/officeDocument/2006/relationships/hyperlink" Target="https://meteor.aihw.gov.au/RegistrationAuthority/13" TargetMode="External" Id="R5f16df8fb96f4b1e" /><Relationship Type="http://schemas.openxmlformats.org/officeDocument/2006/relationships/hyperlink" Target="https://meteor.aihw.gov.au/content/762661" TargetMode="External" Id="Rad3a6969a60f4c1f" /><Relationship Type="http://schemas.openxmlformats.org/officeDocument/2006/relationships/hyperlink" Target="https://meteor.aihw.gov.au/content/762080" TargetMode="External" Id="Rbfe2a5737c3a4af3" /><Relationship Type="http://schemas.openxmlformats.org/officeDocument/2006/relationships/hyperlink" Target="https://meteor.aihw.gov.au/RegistrationAuthority/13" TargetMode="External" Id="R9bbde52c2f594264" /></Relationships>
</file>

<file path=word/_rels/header1.xml.rels>&#65279;<?xml version="1.0" encoding="utf-8"?><Relationships xmlns="http://schemas.openxmlformats.org/package/2006/relationships"><Relationship Type="http://schemas.openxmlformats.org/officeDocument/2006/relationships/image" Target="/media/image.png" Id="R7a68816c771a4298" /></Relationships>
</file>