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391aadb4ac400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9e1565df24b28">
              <w:r>
                <w:rPr>
                  <w:rStyle w:val="Hyperlink"/>
                  <w:color w:val="244061"/>
                </w:rPr>
                <w:t xml:space="preserve">AIHW Data Quality Statements</w:t>
              </w:r>
            </w:hyperlink>
            <w:r>
              <w:rPr>
                <w:rStyle w:val="row-content"/>
                <w:color w:val="244061"/>
              </w:rPr>
              <w:t xml:space="preserve">, Superseded 14/11/2022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to provide specialist homelessness services are in scope for the SHSC, although some agencies are exempt from supplying data.</w:t>
            </w:r>
          </w:p>
          <w:p>
            <w:pPr>
              <w:pStyle w:val="ListParagraph"/>
              <w:numPr>
                <w:ilvl w:val="0"/>
                <w:numId w:val="2"/>
              </w:numPr>
            </w:pPr>
            <w:r>
              <w:rPr>
                <w:rStyle w:val="row-content-rich-text"/>
              </w:rPr>
              <w:t xml:space="preserve">For the 2020–21 reporting period, 100% of Specialist Homelessness Services (SHS) agencies provided data for each month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2020–21, 99%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e535faf74094f6a">
              <w:r>
                <w:rPr>
                  <w:rStyle w:val="Hyperlink"/>
                  <w:i/>
                </w:rPr>
                <w:t xml:space="preserve">Australian Institute of Health and Welfare Act 1987</w:t>
              </w:r>
            </w:hyperlink>
            <w:r>
              <w:rPr>
                <w:rStyle w:val="row-content-rich-text"/>
              </w:rPr>
              <w:t xml:space="preserve"> (AIHW Act), governed by a </w:t>
            </w:r>
            <w:hyperlink w:history="true" r:id="R30fb93fec273495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f1e42791047448b">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2900de5357749cd">
              <w:r>
                <w:rPr>
                  <w:rStyle w:val="Hyperlink"/>
                </w:rPr>
                <w:t xml:space="preserve">https://www.aihw.gov.au/about-us</w:t>
              </w:r>
            </w:hyperlink>
            <w:r>
              <w:rPr>
                <w:rStyle w:val="row-content-rich-text"/>
              </w:rPr>
              <w:t xml:space="preserve">, which includes details about the AIHW's governance (</w:t>
            </w:r>
            <w:hyperlink w:history="true" r:id="R20996707dd574461">
              <w:r>
                <w:rPr>
                  <w:rStyle w:val="Hyperlink"/>
                </w:rPr>
                <w:t xml:space="preserve">https://www.aihw.gov.au/about-us/our-governance</w:t>
              </w:r>
            </w:hyperlink>
            <w:r>
              <w:rPr>
                <w:rStyle w:val="row-content-rich-text"/>
              </w:rPr>
              <w:t xml:space="preserve">) and vision and strategic goals (</w:t>
            </w:r>
            <w:hyperlink w:history="true" r:id="R976201efe1d145f8">
              <w:r>
                <w:rPr>
                  <w:rStyle w:val="Hyperlink"/>
                </w:rPr>
                <w:t xml:space="preserve">https://www.aihw.gov.au/about-us/our-vision-and-strategic-goals</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2020–21 data holdings, all agencies that receive funding under the NHHA to provide specialist homelessness services are in scope for the SHSC, although some agencies are exempt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2020–21 use data from July 2020 to June 2021 that were submitted and validated as at 12 August 2021. These data are first published in a dashboard report released quarterly on the AIHW website, and then in a more comprehensive annual SHS report with accompanying data products in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29454fb56e1a4fe9">
              <w:r>
                <w:rPr>
                  <w:rStyle w:val="Hyperlink"/>
                  <w:i/>
                </w:rPr>
                <w:t xml:space="preserve">Specialist homelessness services</w:t>
              </w:r>
            </w:hyperlink>
            <w:r>
              <w:rPr>
                <w:rStyle w:val="row-content-rich-text"/>
              </w:rPr>
              <w:t xml:space="preserve"> reports and the Productivity Commission’s annual </w:t>
            </w:r>
            <w:hyperlink w:history="true" r:id="R5f29c7ec9d564394">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82703df06098458d">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d952563113124b0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84fd713d751146fe">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129308202118407e">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For the 2020–21 reporting period, 100% of SHS agencies provided data for each month they were expected to participate in the collection. On average, 3.2% of agencies were in-scope for the collection but were exempt from providing data each month. The main reasons for agencies being exempt are:</w:t>
            </w:r>
          </w:p>
          <w:p>
            <w:pPr>
              <w:pStyle w:val="ListParagraph"/>
              <w:numPr>
                <w:ilvl w:val="0"/>
                <w:numId w:val="3"/>
              </w:numPr>
            </w:pPr>
            <w:r>
              <w:rPr>
                <w:rStyle w:val="row-content-rich-text"/>
              </w:rPr>
              <w:t xml:space="preserve">does not see clients directly but supports other agencies</w:t>
            </w:r>
          </w:p>
          <w:p>
            <w:pPr>
              <w:pStyle w:val="ListParagraph"/>
              <w:numPr>
                <w:ilvl w:val="0"/>
                <w:numId w:val="3"/>
              </w:numPr>
            </w:pPr>
            <w:r>
              <w:rPr>
                <w:rStyle w:val="row-content-rich-text"/>
              </w:rPr>
              <w:t xml:space="preserve">level of SHS funding makes it impractical to participate</w:t>
            </w:r>
          </w:p>
          <w:p>
            <w:pPr>
              <w:pStyle w:val="ListParagraph"/>
              <w:numPr>
                <w:ilvl w:val="0"/>
                <w:numId w:val="3"/>
              </w:numPr>
            </w:pPr>
            <w:r>
              <w:rPr>
                <w:rStyle w:val="row-content-rich-text"/>
              </w:rPr>
              <w:t xml:space="preserve">support high number of clients with minimal direct support or do not assess client needs.</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2020–21, 98.6% of support periods had a valid SLK. For records relating to people who were unassisted, 52%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Client location information is mapped (using reported state/territory, locality and/or postcode information) to Statistical Area 2 (SA2) mainly using standard correspondences published by the Australian Bureau of Statistics (ABS). For 2020–21, the majority of support periods (86%) were able to be mapped using a combination of all 3 location variables. Agency location information is mapped (using reported state/territory, locality and/or postcode information) to remoteness area using standard correspondences published by the Australian Bureau of Statistics (ABS). For 2020–21, the majority of agencies (93%) were able to be mapped using a combination of all 3 location variables.</w:t>
            </w:r>
          </w:p>
          <w:p>
            <w:pPr>
              <w:spacing w:after="160"/>
            </w:pPr>
            <w:r>
              <w:rPr>
                <w:rStyle w:val="row-content-rich-text"/>
              </w:rPr>
              <w:t xml:space="preserve">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w:t>
            </w:r>
          </w:p>
          <w:p>
            <w:pPr>
              <w:spacing w:after="160"/>
            </w:pPr>
            <w:r>
              <w:rPr>
                <w:rStyle w:val="row-content-rich-text"/>
              </w:rPr>
              <w:t xml:space="preserve">This indicator has not been well reported, with high proportions of ‘don’t knows’ for some states/territories. Therefore, caution should be used when comparing data across states and territories.</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2020–21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2020–21.</w:t>
            </w:r>
          </w:p>
          <w:p>
            <w:pPr>
              <w:spacing w:after="160"/>
            </w:pPr>
            <w:r>
              <w:rPr>
                <w:rStyle w:val="row-content-rich-text"/>
                <w:b/>
              </w:rPr>
              <w:t xml:space="preserve">The addition of ‘Other’ to the Sex item</w:t>
            </w:r>
          </w:p>
          <w:p>
            <w:pPr>
              <w:spacing w:after="160"/>
            </w:pPr>
            <w:r>
              <w:rPr>
                <w:rStyle w:val="row-content-rich-text"/>
              </w:rPr>
              <w:t xml:space="preserve">An ‘Other’ category was added to the sex item in both the Client and Unassisted persons components of the SHSC for episodes starting from 1 July 2019. This change has meant that there has been a break in time series for some clients as their SLK has changed to reflect their change in recorded sex. In 2020–21, just under 0.5% of clients identified as Sex = Other.</w:t>
            </w:r>
          </w:p>
          <w:p>
            <w:pPr/>
            <w:r>
              <w:rPr>
                <w:rStyle w:val="row-content-rich-text"/>
              </w:rPr>
              <w:t xml:space="preserve">The Sex = Other option may have also been applied by some agencies to young children where their sex was not obvious or for those who did not want to state their sex. Due to this, as well as the confidentiality concerns that accompany small numbers of clients, those clients identifying as Sex = Other have been included in the ‘Female’ category when reporting the data for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Geographical classifications changes over time</w:t>
            </w:r>
          </w:p>
          <w:p>
            <w:pPr>
              <w:spacing w:after="160"/>
            </w:pPr>
            <w:r>
              <w:rPr>
                <w:rStyle w:val="row-content-rich-text"/>
              </w:rPr>
              <w:t xml:space="preserve">Some geographical classifications change over time. For client geography, changes are generally applied to all years of data in published reports and data products so trend analysis is comparable. This also means that numbers reported by the AIHW for a particular year, using a particular geographical classification, may be updated in subsequent releases. For 2020–21, no changes were made to geographical classifications.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pension—DVA, service pension—DVA and war widow(ers) pension—DVA)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i/>
              </w:rPr>
              <w:t xml:space="preserve">Source of income—several payments:</w:t>
            </w:r>
            <w:r>
              <w:rPr>
                <w:rStyle w:val="row-content-rich-text"/>
              </w:rPr>
              <w:t xml:space="preserve"> On 20 March 2020, Newstart allowance, Sickness allowance, Bereavement allowance, Wife pension and Widow B pension were ceased and replaced with Jobseeker or Age pension depending on circumstances. For the purpose of SHS collection, Jobseeker payment has been recorded as Newstart allowance. Due to changes to these payments, there has been a break in time series for several SHS income categories including Newstart allowance, Age pension, Sickness allowance and Other government pensions and allowances (not elsewhere classified).</w:t>
            </w:r>
          </w:p>
          <w:p>
            <w:pPr>
              <w:spacing w:after="160"/>
            </w:pPr>
            <w:r>
              <w:rPr>
                <w:rStyle w:val="row-content-rich-text"/>
                <w:b/>
              </w:rPr>
              <w:t xml:space="preserve">Data-specific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Unmet need:</w:t>
            </w:r>
            <w:r>
              <w:rPr>
                <w:rStyle w:val="row-content-rich-text"/>
              </w:rPr>
              <w:t xml:space="preserve"> South Australia’s recorded level of unmet need (i.e. service not provided or referred) for services other than accommodation are likely understated due to a different data collection method. Caution should be used when comparing unmet need data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 </w:t>
            </w:r>
            <w:r>
              <w:rPr>
                <w:rStyle w:val="row-content-rich-text"/>
              </w:rPr>
              <w:t xml:space="preserve">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b/>
              </w:rPr>
              <w:t xml:space="preserve">Improvements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p>
          <w:p>
            <w:pPr>
              <w:spacing w:after="160"/>
            </w:pPr>
            <w:r>
              <w:rPr>
                <w:rStyle w:val="row-content-rich-text"/>
              </w:rPr>
              <w:t xml:space="preserve">In July 2019, the following changes were made to improve the collection of information regarding family and domestic violence (FDV) in the SHSC:</w:t>
            </w:r>
          </w:p>
          <w:p>
            <w:pPr>
              <w:pStyle w:val="ListParagraph"/>
              <w:numPr>
                <w:ilvl w:val="0"/>
                <w:numId w:val="4"/>
              </w:numPr>
            </w:pPr>
            <w:r>
              <w:rPr>
                <w:rStyle w:val="row-content-rich-text"/>
              </w:rPr>
              <w:t xml:space="preserve">The inclusion of an ‘FDV agency’ option in the ‘Formal sources of referral’ item to capture clients referred from non-SHS funded FDV services.</w:t>
            </w:r>
          </w:p>
          <w:p>
            <w:pPr>
              <w:pStyle w:val="ListParagraph"/>
              <w:numPr>
                <w:ilvl w:val="0"/>
                <w:numId w:val="4"/>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4"/>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 victim and perpetrator services can be combined to reflect the general FDV services item used prior to 1 July 2019.</w:t>
            </w:r>
          </w:p>
          <w:p>
            <w:pPr>
              <w:spacing w:after="160"/>
            </w:pPr>
            <w:r>
              <w:rPr>
                <w:rStyle w:val="row-content-rich-text"/>
              </w:rPr>
              <w:t xml:space="preserve">The split between victim and perpetrator services has not been widely reported in 2020–21.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Prior to 2017–18, data were imputed to account for agency non-response and invalid SLKs. 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COVID-19</w:t>
            </w:r>
          </w:p>
          <w:p>
            <w:pPr>
              <w:spacing w:after="160"/>
            </w:pPr>
            <w:r>
              <w:rPr>
                <w:rStyle w:val="row-content-rich-text"/>
              </w:rPr>
              <w:t xml:space="preserve">States and territories introduced funding and policy initiatives to support people experiencing, or at risk of, homelessness in response to the COVID-19 pandemic in 2019–20 and 2020–21. There are differences across state and territories in the timing and types of initiatives implemented. These initiatives were implemented within or outside the scope of the SHSC, both of which could impact on specialist homelessness service use. Caution should be used when comparing service use across states and territories during the pandemic period.</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5"/>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5"/>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6"/>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by police to homelessness-funded family violence services.</w:t>
            </w:r>
          </w:p>
          <w:p>
            <w:pPr>
              <w:pStyle w:val="ListParagraph"/>
              <w:numPr>
                <w:ilvl w:val="0"/>
                <w:numId w:val="6"/>
              </w:numPr>
            </w:pPr>
            <w:r>
              <w:rPr>
                <w:rStyle w:val="row-content-rich-text"/>
              </w:rPr>
              <w:t xml:space="preserve">From 2017–18 to 2020–21, there was a 10% decrease in both the total number of Victorian homelessness clients and family violence clients following years of steady increases in these numbers. The decrease was initially due to a practice correction in how some family violence agencies were recording clients. In addition, during 2018–19, a phased process to shift family violence intake to non-SHS services (The Orange Door) began, which is decreasing the overall number of SHS family violence clients. The COVID-19 pandemic in 2020 and 2021 caused a further drop in clients due to the months of ‘stay home’ orders in Victoria, rental eviction moratorium and availability of income through JobKeeper/JobSeeker. Caution should be used when comparing Victorian client numbers over recent years.</w:t>
            </w:r>
          </w:p>
          <w:p>
            <w:pPr>
              <w:spacing w:after="160"/>
            </w:pPr>
            <w:r>
              <w:rPr>
                <w:rStyle w:val="row-content-rich-text"/>
                <w:i/>
              </w:rPr>
              <w:t xml:space="preserve">Queensland</w:t>
            </w:r>
          </w:p>
          <w:p>
            <w:pPr>
              <w:pStyle w:val="ListParagraph"/>
              <w:numPr>
                <w:ilvl w:val="0"/>
                <w:numId w:val="7"/>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8"/>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9"/>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9"/>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p>
            <w:pPr>
              <w:spacing w:after="160"/>
            </w:pPr>
            <w:r>
              <w:rPr>
                <w:rStyle w:val="row-content-rich-text"/>
                <w:i/>
              </w:rPr>
              <w:t xml:space="preserve">Northern Territory</w:t>
            </w:r>
          </w:p>
          <w:p>
            <w:pPr>
              <w:pStyle w:val="ListParagraph"/>
              <w:numPr>
                <w:ilvl w:val="0"/>
                <w:numId w:val="10"/>
              </w:numPr>
            </w:pPr>
            <w:r>
              <w:rPr>
                <w:rStyle w:val="row-content-rich-text"/>
              </w:rPr>
              <w:t xml:space="preserve">A new Northern Territory agency began reporting to the collection in January 2019. The high volume of clients and the nature of the services provided by the agency have impacted results across the data collection, with the full impact being evident in the 2019–20 data. Caution should be used when making comparisons between data before and after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bd23f32bfb40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dae8ab7eb94fca">
              <w:r>
                <w:rPr>
                  <w:rStyle w:val="Hyperlink"/>
                </w:rPr>
                <w:t xml:space="preserve">Specialist Homelessness Services Collection, 2019–20; Quality Statement</w:t>
              </w:r>
            </w:hyperlink>
          </w:p>
          <w:p>
            <w:pPr>
              <w:pStyle w:val="registration-status"/>
              <w:spacing w:before="0" w:after="0"/>
            </w:pPr>
            <w:hyperlink w:history="true" r:id="R9f4649bf4fb242b3">
              <w:r>
                <w:rPr>
                  <w:rStyle w:val="Hyperlink"/>
                  <w:color w:val="244061"/>
                </w:rPr>
                <w:t xml:space="preserve">AIHW Data Quality Statements</w:t>
              </w:r>
            </w:hyperlink>
            <w:r>
              <w:rPr>
                <w:rStyle w:val="row-content"/>
                <w:color w:val="244061"/>
              </w:rPr>
              <w:t xml:space="preserve">, Superseded 23/11/2021</w:t>
            </w:r>
          </w:p>
          <w:p>
            <w:r>
              <w:br/>
            </w:r>
            <w:r>
              <w:rPr>
                <w:rStyle w:val="row-content"/>
              </w:rPr>
              <w:t xml:space="preserve">Has been superseded by </w:t>
            </w:r>
            <w:hyperlink w:history="true" r:id="R903e084207d6407a">
              <w:r>
                <w:rPr>
                  <w:rStyle w:val="Hyperlink"/>
                </w:rPr>
                <w:t xml:space="preserve">Specialist Homelessness Services Collection, 2021–22; Quality Statement</w:t>
              </w:r>
            </w:hyperlink>
          </w:p>
          <w:p>
            <w:pPr>
              <w:pStyle w:val="registration-status"/>
              <w:spacing w:before="0" w:after="0"/>
            </w:pPr>
            <w:hyperlink w:history="true" r:id="R9413b197d91e4506">
              <w:r>
                <w:rPr>
                  <w:rStyle w:val="Hyperlink"/>
                  <w:color w:val="244061"/>
                </w:rPr>
                <w:t xml:space="preserve">AIHW Data Quality Statements</w:t>
              </w:r>
            </w:hyperlink>
            <w:r>
              <w:rPr>
                <w:rStyle w:val="row-content"/>
                <w:color w:val="244061"/>
              </w:rPr>
              <w:t xml:space="preserve">, Superseded 27/11/2023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2cd5f839940a4a4b">
              <w:r>
                <w:rPr>
                  <w:rStyle w:val="Hyperlink"/>
                </w:rPr>
                <w:t xml:space="preserve">Specialist Homelessness Services Collection Longitudinal Data Set</w:t>
              </w:r>
            </w:hyperlink>
            <w:r>
              <w:br/>
            </w:r>
          </w:p>
        </w:tc>
      </w:tr>
    </w:tbl>
    <w:p>
      <w:r>
        <w:br/>
      </w:r>
    </w:p>
    <w:sectPr>
      <w:footerReference xmlns:r="http://schemas.openxmlformats.org/officeDocument/2006/relationships" w:type="default" r:id="Rc97bd438b905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746581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e7b0dc3ec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bd438b905460e" /><Relationship Type="http://schemas.openxmlformats.org/officeDocument/2006/relationships/header" Target="/word/header1.xml" Id="R8ceabdb093f14298" /><Relationship Type="http://schemas.openxmlformats.org/officeDocument/2006/relationships/settings" Target="/word/settings.xml" Id="Rec2dfc708ee3456f" /><Relationship Type="http://schemas.openxmlformats.org/officeDocument/2006/relationships/styles" Target="/word/styles.xml" Id="Rbd46dbec1e9d4a0d" /><Relationship Type="http://schemas.openxmlformats.org/officeDocument/2006/relationships/numbering" Target="/word/numbering.xml" Id="Rcac1558026a741c3" /><Relationship Type="http://schemas.openxmlformats.org/officeDocument/2006/relationships/hyperlink" Target="https://meteor.aihw.gov.au/RegistrationAuthority/5" TargetMode="External" Id="R53c9e1565df24b28" /><Relationship Type="http://schemas.openxmlformats.org/officeDocument/2006/relationships/hyperlink" Target="https://www.legislation.gov.au/Series/C2004A03450" TargetMode="External" Id="R5e535faf74094f6a" /><Relationship Type="http://schemas.openxmlformats.org/officeDocument/2006/relationships/hyperlink" Target="https://www.aihw.gov.au/about-us/our-governance" TargetMode="External" Id="R30fb93fec2734959" /><Relationship Type="http://schemas.openxmlformats.org/officeDocument/2006/relationships/hyperlink" Target="https://www.legislation.gov.au/Series/C2004A03712" TargetMode="External" Id="R6f1e42791047448b" /><Relationship Type="http://schemas.openxmlformats.org/officeDocument/2006/relationships/hyperlink" Target="https://www.aihw.gov.au/about-us" TargetMode="External" Id="R02900de5357749cd" /><Relationship Type="http://schemas.openxmlformats.org/officeDocument/2006/relationships/hyperlink" Target="https://www.aihw.gov.au/about-us/our-governance" TargetMode="External" Id="R20996707dd574461" /><Relationship Type="http://schemas.openxmlformats.org/officeDocument/2006/relationships/hyperlink" Target="https://www.aihw.gov.au/about-us/our-vision-and-strategic-goals" TargetMode="External" Id="R976201efe1d145f8" /><Relationship Type="http://schemas.openxmlformats.org/officeDocument/2006/relationships/hyperlink" Target="https://www.aihw.gov.au/reports-data/health-welfare-services/homelessness-services/overview" TargetMode="External" Id="R29454fb56e1a4fe9" /><Relationship Type="http://schemas.openxmlformats.org/officeDocument/2006/relationships/hyperlink" Target="http://www.pc.gov.au/research/ongoing/report-on-government-services" TargetMode="External" Id="R5f29c7ec9d564394" /><Relationship Type="http://schemas.openxmlformats.org/officeDocument/2006/relationships/hyperlink" Target="https://www.aihw.gov.au/our-services/data-on-request" TargetMode="External" Id="R82703df06098458d" /><Relationship Type="http://schemas.openxmlformats.org/officeDocument/2006/relationships/hyperlink" Target="mailto:info@aihw.gov.au" TargetMode="External" Id="Rd952563113124b0a" /><Relationship Type="http://schemas.openxmlformats.org/officeDocument/2006/relationships/hyperlink" Target="https://www.aihw.gov.au/about-our-data/our-data-collections/specialist-homelessness-services-collection" TargetMode="External" Id="R84fd713d751146fe" /><Relationship Type="http://schemas.openxmlformats.org/officeDocument/2006/relationships/hyperlink" Target="https://www.aihw.gov.au/about-our-data/our-data-collections/specialist-homelessness-services-collection/training-resources" TargetMode="External" Id="R129308202118407e" /><Relationship Type="http://schemas.openxmlformats.org/officeDocument/2006/relationships/hyperlink" Target="https://meteor.aihw.gov.au/content/246013" TargetMode="External" Id="R26bd23f32bfb40ed" /><Relationship Type="http://schemas.openxmlformats.org/officeDocument/2006/relationships/hyperlink" Target="https://meteor.aihw.gov.au/content/734071" TargetMode="External" Id="Rb3dae8ab7eb94fca" /><Relationship Type="http://schemas.openxmlformats.org/officeDocument/2006/relationships/hyperlink" Target="https://meteor.aihw.gov.au/RegistrationAuthority/5" TargetMode="External" Id="R9f4649bf4fb242b3" /><Relationship Type="http://schemas.openxmlformats.org/officeDocument/2006/relationships/hyperlink" Target="https://meteor.aihw.gov.au/content/765375" TargetMode="External" Id="R903e084207d6407a" /><Relationship Type="http://schemas.openxmlformats.org/officeDocument/2006/relationships/hyperlink" Target="https://meteor.aihw.gov.au/RegistrationAuthority/5" TargetMode="External" Id="R9413b197d91e4506" /><Relationship Type="http://schemas.openxmlformats.org/officeDocument/2006/relationships/hyperlink" Target="https://meteor.aihw.gov.au/content/752803" TargetMode="External" Id="R2cd5f839940a4a4b" /></Relationships>
</file>

<file path=word/_rels/header1.xml.rels>&#65279;<?xml version="1.0" encoding="utf-8"?><Relationships xmlns="http://schemas.openxmlformats.org/package/2006/relationships"><Relationship Type="http://schemas.openxmlformats.org/officeDocument/2006/relationships/image" Target="/media/image.png" Id="Rac2e7b0dc3ec4984" /></Relationships>
</file>