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bbb237d0ee4332"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6b-Proportion of patients with delirium who experienced dehydration, malnutrition, a fall resulting in fracture or other intracranial injury, or a pressure injury during their hospital stay</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6b-Proportion of patients with delirium who experienced dehydration, malnutrition, a fall resulting in fracture or other intracranial injury, or a pressure injury during their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6b-Proportion of patients with delirium who experienced dehydration, malnutrition, a fall resulting in fracture or other intracranial injury,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390dc79664828">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experienced dehydration, malnutrition, a fall resulting in fracture or other intracranial injury,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a49016a9d24be7">
              <w:r>
                <w:rPr>
                  <w:rStyle w:val="Hyperlink"/>
                </w:rPr>
                <w:t xml:space="preserve">Clinical care standard indicators: delirium 2021</w:t>
              </w:r>
            </w:hyperlink>
          </w:p>
          <w:p>
            <w:pPr>
              <w:spacing w:before="0" w:after="0"/>
            </w:pPr>
            <w:r>
              <w:rPr>
                <w:rStyle w:val="row-content"/>
                <w:color w:val="244061"/>
              </w:rPr>
              <w:t xml:space="preserve">       </w:t>
            </w:r>
            <w:hyperlink w:history="true" r:id="R5559936969b84c65">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629355325ab844ba">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w:t>
            </w:r>
          </w:p>
          <w:p>
            <w:pPr>
              <w:spacing w:after="160"/>
            </w:pPr>
            <w:r>
              <w:rPr>
                <w:rStyle w:val="row-content-rich-text"/>
              </w:rPr>
              <w:t xml:space="preserve">For the numerator include separations that meet the coding criteria for dehydration, malnutrition, fall resulting in fracture or other intracranial injury and pressure injury (stage III, IV, unspecified, unstageable pressure injury and suspected) acquired in hospital (Table A). Use </w:t>
            </w:r>
            <w:hyperlink w:history="true" r:id="R30375c8f9c324d89">
              <w:r>
                <w:rPr>
                  <w:rStyle w:val="Hyperlink"/>
                </w:rPr>
                <w:t xml:space="preserve">Episode of admitted patient care—condition onset flag, code N</w:t>
              </w:r>
            </w:hyperlink>
            <w:r>
              <w:rPr>
                <w:rStyle w:val="row-content-rich-text"/>
              </w:rPr>
              <w:t xml:space="preserve"> to identify whether a diagnosis occurred during the episode of admitted patient care.</w:t>
            </w:r>
          </w:p>
          <w:p>
            <w:pPr>
              <w:spacing w:after="160"/>
            </w:pPr>
            <w:r>
              <w:rPr>
                <w:rStyle w:val="row-content-rich-text"/>
                <w:b/>
              </w:rPr>
              <w:t xml:space="preserve">Table A: Numerator criteria </w:t>
            </w:r>
          </w:p>
          <w:tbl>
            <w:tblPr>
              <w:tblStyle w:val="TableGrid"/>
              <w:tblW w:w="5000" w:type="pct"/>
              <w:tblLayout w:type="autofit"/>
            </w:tblPr>
            <w:tblGrid>
              <w:gridCol/>
              <w:gridCol/>
              <w:gridCol/>
            </w:tblGrid>
            <w:tr>
              <w:trPr/>
              <w:tc>
                <w:tcPr>
                  <w:tcW w:w="400" w:type="pct"/>
                  <w:vAlign w:val="top"/>
                </w:tcPr>
                <w:p>
                  <w:pPr/>
                  <w:r>
                    <w:rPr>
                      <w:rStyle w:val="row-content-rich-text"/>
                      <w:b/>
                    </w:rPr>
                    <w:t xml:space="preserve">Diagnosis</w:t>
                  </w:r>
                </w:p>
              </w:tc>
              <w:tc>
                <w:tcPr>
                  <w:tcW w:w="2500" w:type="pct"/>
                  <w:vAlign w:val="top"/>
                </w:tcPr>
                <w:p>
                  <w:r>
                    <w:rPr>
                      <w:b/>
                    </w:rPr>
                    <w:t xml:space="preserve">ICD-10-AM (7</w:t>
                  </w:r>
                  <w:r>
                    <w:rPr>
                      <w:b/>
                      <w:vertAlign w:val="superscript"/>
                    </w:rPr>
                    <w:t xml:space="preserve">th</w:t>
                  </w:r>
                  <w:r>
                    <w:rPr>
                      <w:b/>
                    </w:rPr>
                    <w:t xml:space="preserve"> to 11</w:t>
                  </w:r>
                  <w:r>
                    <w:rPr>
                      <w:b/>
                      <w:vertAlign w:val="superscript"/>
                    </w:rPr>
                    <w:t xml:space="preserve">th</w:t>
                  </w:r>
                  <w:r>
                    <w:rPr>
                      <w:b/>
                    </w:rPr>
                    <w:t xml:space="preserve"> editions) </w:t>
                  </w:r>
                </w:p>
                <w:p>
                  <w:r>
                    <w:rPr>
                      <w:b/>
                    </w:rPr>
                    <w:t xml:space="preserve">diagnosis codes</w:t>
                  </w:r>
                </w:p>
              </w:tc>
              <w:tc>
                <w:tcPr>
                  <w:tcW w:w="2050" w:type="pct"/>
                  <w:vAlign w:val="top"/>
                </w:tcPr>
                <w:p>
                  <w:r>
                    <w:rPr>
                      <w:b/>
                    </w:rPr>
                    <w:t xml:space="preserve">Additional requirement(s)</w:t>
                  </w:r>
                </w:p>
              </w:tc>
            </w:tr>
            <w:tr>
              <w:trPr/>
              <w:tc>
                <w:tcPr>
                  <w:tcW w:w="400" w:type="pct"/>
                  <w:vAlign w:val="top"/>
                </w:tcPr>
                <w:p>
                  <w:r>
                    <w:t xml:space="preserve">Dehydration</w:t>
                  </w:r>
                </w:p>
              </w:tc>
              <w:tc>
                <w:tcPr>
                  <w:tcW w:w="2500" w:type="pct"/>
                  <w:vAlign w:val="top"/>
                </w:tcPr>
                <w:p>
                  <w:r>
                    <w:t xml:space="preserve">E86: </w:t>
                  </w:r>
                  <w:r>
                    <w:rPr>
                      <w:i/>
                    </w:rPr>
                    <w:t xml:space="preserve">Volume depletion</w:t>
                  </w:r>
                </w:p>
              </w:tc>
              <w:tc>
                <w:tcPr>
                  <w:tcW w:w="2050" w:type="pct"/>
                  <w:vAlign w:val="top"/>
                </w:tcPr>
                <w:p>
                  <w:r>
                    <w:t xml:space="preserve">Condition identified as having occurred during episode of admitted patient care</w:t>
                  </w:r>
                </w:p>
              </w:tc>
            </w:tr>
            <w:tr>
              <w:trPr/>
              <w:tc>
                <w:tcPr>
                  <w:tcW w:w="400" w:type="pct"/>
                  <w:vAlign w:val="top"/>
                </w:tcPr>
                <w:p>
                  <w:r>
                    <w:t xml:space="preserve">Fall resulting in fracture or other intracranial injury</w:t>
                  </w:r>
                </w:p>
              </w:tc>
              <w:tc>
                <w:tcPr>
                  <w:tcW w:w="2500" w:type="pct"/>
                  <w:vAlign w:val="top"/>
                </w:tcPr>
                <w:p>
                  <w:r>
                    <w:t xml:space="preserve">All ICD codes listed in </w:t>
                  </w:r>
                  <w:hyperlink w:history="true" r:id="R4fff17a2393e4c7c">
                    <w:r>
                      <w:rPr>
                        <w:rStyle w:val="Hyperlink"/>
                      </w:rPr>
                      <w:t xml:space="preserve">Hospital-Acquired Complications (HACs) List - Specifications</w:t>
                    </w:r>
                  </w:hyperlink>
                  <w:r>
                    <w:t xml:space="preserve">, worksheet </w:t>
                  </w:r>
                  <w:r>
                    <w:rPr>
                      <w:i/>
                    </w:rPr>
                    <w:t xml:space="preserve">1. HACs list</w:t>
                  </w:r>
                  <w:r>
                    <w:t xml:space="preserve">, where</w:t>
                  </w:r>
                </w:p>
                <w:p>
                  <w:pPr>
                    <w:pStyle w:val="ListParagraph"/>
                    <w:numPr>
                      <w:ilvl w:val="0"/>
                      <w:numId w:val="2"/>
                    </w:numPr>
                  </w:pPr>
                  <w:r>
                    <w:t xml:space="preserve">Complication group = </w:t>
                  </w:r>
                  <w:r>
                    <w:rPr>
                      <w:i/>
                    </w:rPr>
                    <w:t xml:space="preserve">2. Falls resulting in fracture or other intracranial injury</w:t>
                  </w:r>
                </w:p>
              </w:tc>
              <w:tc>
                <w:tcPr>
                  <w:tcW w:w="2050" w:type="pct"/>
                  <w:vAlign w:val="top"/>
                </w:tcPr>
                <w:p>
                  <w:r>
                    <w:t xml:space="preserve">Condition identified as having occurred during episode of admitted patient care </w:t>
                  </w:r>
                </w:p>
                <w:p>
                  <w:r>
                    <w:t xml:space="preserve">AND any external cause code of (falls): W01x,W03, W04, W05, W061, W062, W063, W064, W066, W068, W069, W07x, W08x, W10x, W130, W131, W132, W135, W138, W139, W18x, W19</w:t>
                  </w:r>
                </w:p>
              </w:tc>
            </w:tr>
            <w:tr>
              <w:trPr/>
              <w:tc>
                <w:tcPr>
                  <w:tcW w:w="400" w:type="pct"/>
                  <w:vAlign w:val="top"/>
                </w:tcPr>
                <w:p>
                  <w:r>
                    <w:t xml:space="preserve">Malnutrition</w:t>
                  </w:r>
                </w:p>
              </w:tc>
              <w:tc>
                <w:tcPr>
                  <w:tcW w:w="2500" w:type="pct"/>
                  <w:vAlign w:val="top"/>
                </w:tcPr>
                <w:p>
                  <w:r>
                    <w:t xml:space="preserve">All ICD codes listed in </w:t>
                  </w:r>
                  <w:hyperlink w:history="true" r:id="R073e5eb9d9af4b64">
                    <w:r>
                      <w:rPr>
                        <w:rStyle w:val="Hyperlink"/>
                      </w:rPr>
                      <w:t xml:space="preserve">Hospital-Acquired Complications (HACs) List - Specifications</w:t>
                    </w:r>
                  </w:hyperlink>
                  <w:r>
                    <w:t xml:space="preserve">, worksheet </w:t>
                  </w:r>
                  <w:r>
                    <w:rPr>
                      <w:i/>
                    </w:rPr>
                    <w:t xml:space="preserve">1. HACs list</w:t>
                  </w:r>
                  <w:r>
                    <w:t xml:space="preserve">, where</w:t>
                  </w:r>
                </w:p>
                <w:p>
                  <w:pPr>
                    <w:pStyle w:val="ListParagraph"/>
                    <w:numPr>
                      <w:ilvl w:val="0"/>
                      <w:numId w:val="3"/>
                    </w:numPr>
                  </w:pPr>
                  <w:r>
                    <w:t xml:space="preserve">Complication group = </w:t>
                  </w:r>
                  <w:r>
                    <w:rPr>
                      <w:i/>
                    </w:rPr>
                    <w:t xml:space="preserve">13. Endocrine complications,</w:t>
                  </w:r>
                  <w:r>
                    <w:t xml:space="preserve"> and</w:t>
                  </w:r>
                </w:p>
                <w:p>
                  <w:pPr>
                    <w:pStyle w:val="ListParagraph"/>
                    <w:numPr>
                      <w:ilvl w:val="0"/>
                      <w:numId w:val="3"/>
                    </w:numPr>
                  </w:pPr>
                  <w:r>
                    <w:t xml:space="preserve">Diagnosis group = </w:t>
                  </w:r>
                  <w:r>
                    <w:rPr>
                      <w:i/>
                    </w:rPr>
                    <w:t xml:space="preserve">13.1 Malnutrition</w:t>
                  </w:r>
                </w:p>
              </w:tc>
              <w:tc>
                <w:tcPr>
                  <w:tcW w:w="2050" w:type="pct"/>
                  <w:vAlign w:val="top"/>
                </w:tcPr>
                <w:p>
                  <w:r>
                    <w:t xml:space="preserve">Condition identified as having occurred during episode of admitted patient care</w:t>
                  </w:r>
                </w:p>
              </w:tc>
            </w:tr>
            <w:tr>
              <w:trPr/>
              <w:tc>
                <w:tcPr>
                  <w:tcW w:w="400" w:type="pct"/>
                  <w:vAlign w:val="top"/>
                </w:tcPr>
                <w:p>
                  <w:r>
                    <w:t xml:space="preserve">Pressure injury </w:t>
                  </w:r>
                </w:p>
              </w:tc>
              <w:tc>
                <w:tcPr>
                  <w:tcW w:w="2500" w:type="pct"/>
                  <w:vAlign w:val="top"/>
                </w:tcPr>
                <w:p>
                  <w:r>
                    <w:t xml:space="preserve">All ICD codes listed in </w:t>
                  </w:r>
                  <w:hyperlink w:history="true" r:id="R446f0205d9e64f25">
                    <w:r>
                      <w:rPr>
                        <w:rStyle w:val="Hyperlink"/>
                      </w:rPr>
                      <w:t xml:space="preserve">Hospital-Acquired Complications (HACs) List - Specifications</w:t>
                    </w:r>
                  </w:hyperlink>
                  <w:r>
                    <w:t xml:space="preserve">, worksheet </w:t>
                  </w:r>
                  <w:r>
                    <w:rPr>
                      <w:i/>
                    </w:rPr>
                    <w:t xml:space="preserve">1. HACs list</w:t>
                  </w:r>
                  <w:r>
                    <w:t xml:space="preserve">, where</w:t>
                  </w:r>
                </w:p>
                <w:p>
                  <w:pPr>
                    <w:pStyle w:val="ListParagraph"/>
                    <w:numPr>
                      <w:ilvl w:val="0"/>
                      <w:numId w:val="4"/>
                    </w:numPr>
                  </w:pPr>
                  <w:r>
                    <w:t xml:space="preserve">Complication group = </w:t>
                  </w:r>
                  <w:r>
                    <w:rPr>
                      <w:i/>
                    </w:rPr>
                    <w:t xml:space="preserve">1. Pressure injury </w:t>
                  </w:r>
                </w:p>
              </w:tc>
              <w:tc>
                <w:tcPr>
                  <w:tcW w:w="2050" w:type="pct"/>
                  <w:vAlign w:val="top"/>
                </w:tcPr>
                <w:p>
                  <w:r>
                    <w:t xml:space="preserve">Condition identified as having occurred during episode of admitted patient care</w:t>
                  </w:r>
                </w:p>
              </w:tc>
            </w:tr>
          </w:tbl>
          <w:p>
            <w:r>
              <w:t xml:space="preserve">Presented as a percentage.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 who experienced dehydration, malnutrition, a fall resulting in fracture or other intracranial injury,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Key Principles for Care of Confused Hospitalised Older Persons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Agency for Clinical Innovation. Key Principles for Care of Confused Hospitalised Older Persons. Sydney: ACI, 2014.</w:t>
            </w:r>
          </w:p>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 </w:t>
            </w:r>
          </w:p>
        </w:tc>
      </w:tr>
    </w:tbl>
    <w:p>
      <w:r>
        <w:br/>
      </w:r>
    </w:p>
    <w:sectPr>
      <w:footerReference xmlns:r="http://schemas.openxmlformats.org/officeDocument/2006/relationships" w:type="default" r:id="R41acc99145d4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025a47eed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cc99145d441c8" /><Relationship Type="http://schemas.openxmlformats.org/officeDocument/2006/relationships/header" Target="/word/header1.xml" Id="R88838b3350094255" /><Relationship Type="http://schemas.openxmlformats.org/officeDocument/2006/relationships/settings" Target="/word/settings.xml" Id="Rd282903ef9b84a98" /><Relationship Type="http://schemas.openxmlformats.org/officeDocument/2006/relationships/styles" Target="/word/styles.xml" Id="Re072bb0f7e5b4cb6" /><Relationship Type="http://schemas.openxmlformats.org/officeDocument/2006/relationships/hyperlink" Target="https://meteor.aihw.gov.au/RegistrationAuthority/18" TargetMode="External" Id="Ra2f390dc79664828" /><Relationship Type="http://schemas.openxmlformats.org/officeDocument/2006/relationships/hyperlink" Target="https://meteor.aihw.gov.au/content/745804" TargetMode="External" Id="R45a49016a9d24be7" /><Relationship Type="http://schemas.openxmlformats.org/officeDocument/2006/relationships/hyperlink" Target="https://meteor.aihw.gov.au/RegistrationAuthority/18" TargetMode="External" Id="R5559936969b84c65" /><Relationship Type="http://schemas.openxmlformats.org/officeDocument/2006/relationships/hyperlink" Target="https://www.safetyandquality.gov.au/publications-and-resources/resource-library/hospital-acquired-complications-hacs-list-specifications-version-31" TargetMode="External" Id="R629355325ab844ba" /><Relationship Type="http://schemas.openxmlformats.org/officeDocument/2006/relationships/hyperlink" Target="https://meteor.aihw.gov.au/content/686100" TargetMode="External" Id="R30375c8f9c324d89" /><Relationship Type="http://schemas.openxmlformats.org/officeDocument/2006/relationships/hyperlink" Target="https://www.safetyandquality.gov.au/publications-and-resources/resource-library/hospital-acquired-complications-hacs-list-specifications-version-31" TargetMode="External" Id="R4fff17a2393e4c7c" /><Relationship Type="http://schemas.openxmlformats.org/officeDocument/2006/relationships/numbering" Target="/word/numbering.xml" Id="Rcf8573b9eae64133" /><Relationship Type="http://schemas.openxmlformats.org/officeDocument/2006/relationships/hyperlink" Target="https://www.safetyandquality.gov.au/publications-and-resources/resource-library/hospital-acquired-complications-hacs-list-specifications-version-31" TargetMode="External" Id="R073e5eb9d9af4b64" /><Relationship Type="http://schemas.openxmlformats.org/officeDocument/2006/relationships/hyperlink" Target="https://www.safetyandquality.gov.au/publications-and-resources/resource-library/hospital-acquired-complications-hacs-list-specifications-version-31" TargetMode="External" Id="R446f0205d9e64f25" /></Relationships>
</file>

<file path=word/_rels/header1.xml.rels>&#65279;<?xml version="1.0" encoding="utf-8"?><Relationships xmlns="http://schemas.openxmlformats.org/package/2006/relationships"><Relationship Type="http://schemas.openxmlformats.org/officeDocument/2006/relationships/image" Target="/media/image.png" Id="Rf53025a47eed40cd" /></Relationships>
</file>