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6155c6f980473a"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5b-Proportion of patients with delirium who received multicomponent interventions to treat and manage delirium</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5b-Proportion of patients with delirium who received multicomponent interventions to treat and manage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5b-Proportion of patients with delirium who received multicomponent interventions to treat and manage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ac3934332849d3">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delirium who received multicomponent interventions to treat and manage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e549acd90b4741">
              <w:r>
                <w:rPr>
                  <w:rStyle w:val="Hyperlink"/>
                </w:rPr>
                <w:t xml:space="preserve">Clinical care standard indicators: delirium 2021</w:t>
              </w:r>
            </w:hyperlink>
          </w:p>
          <w:p>
            <w:pPr>
              <w:spacing w:before="0" w:after="0"/>
            </w:pPr>
            <w:r>
              <w:rPr>
                <w:rStyle w:val="row-content"/>
                <w:color w:val="244061"/>
              </w:rPr>
              <w:t xml:space="preserve">       </w:t>
            </w:r>
            <w:hyperlink w:history="true" r:id="Rb8906fcd3fa34e16">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identify patients with delirium using the ICD codes specified in the </w:t>
            </w:r>
            <w:hyperlink w:history="true" r:id="Re48c2bb7961b456a">
              <w:r>
                <w:rPr>
                  <w:rStyle w:val="Hyperlink"/>
                </w:rPr>
                <w:t xml:space="preserve">Hospital-Acquired Complications (HACs) List - Specifications</w:t>
              </w:r>
            </w:hyperlink>
            <w:r>
              <w:rPr>
                <w:rStyle w:val="row-content-rich-text"/>
              </w:rPr>
              <w:t xml:space="preserve">, worksheet 1, </w:t>
            </w:r>
            <w:r>
              <w:rPr>
                <w:rStyle w:val="row-content-rich-text"/>
                <w:i/>
              </w:rPr>
              <w:t xml:space="preserve"> </w:t>
            </w:r>
            <w:r>
              <w:rPr>
                <w:rStyle w:val="row-content-rich-text"/>
              </w:rPr>
              <w:t xml:space="preserve">where complication group = </w:t>
            </w:r>
            <w:r>
              <w:rPr>
                <w:rStyle w:val="row-content-rich-text"/>
                <w:i/>
              </w:rPr>
              <w:t xml:space="preserve">11. Delirium.</w:t>
            </w:r>
          </w:p>
          <w:p>
            <w:pPr>
              <w:spacing w:after="160"/>
            </w:pPr>
            <w:r>
              <w:rPr>
                <w:rStyle w:val="row-content-rich-text"/>
              </w:rPr>
              <w:t xml:space="preserve">For the numerator, the multicomponent interventions to treat and manage delirium must be documented in the patient's medical record and include tailored interventions to treat any identified cause/s of delirium.</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 who received multicomponent interventions to treat and manage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the Ontario Senior Friendly Hospital Strategy Delirium and Functional Decline Indicators (Wong et al,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Delirium Clinical Care Standard. Sydney: ACSQHC; 2021.</w:t>
            </w:r>
          </w:p>
          <w:p>
            <w:pPr/>
            <w:r>
              <w:rPr>
                <w:rStyle w:val="row-content-rich-text"/>
              </w:rPr>
              <w:t xml:space="preserve">Wong K, Tsang A, Liu B &amp; Schwartz R. The Ontario Senior Friendly Hospital Strategy Delirium and Functional Decline Indicators. Toronto: Ontario Local Health Integration Network; 2012.</w:t>
            </w:r>
          </w:p>
        </w:tc>
      </w:tr>
    </w:tbl>
    <w:p>
      <w:r>
        <w:br/>
      </w:r>
    </w:p>
    <w:sectPr>
      <w:footerReference xmlns:r="http://schemas.openxmlformats.org/officeDocument/2006/relationships" w:type="default" r:id="Rb19024c9b8d049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5010c2c1ae45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024c9b8d04968" /><Relationship Type="http://schemas.openxmlformats.org/officeDocument/2006/relationships/header" Target="/word/header1.xml" Id="R9763cb380c2d40dd" /><Relationship Type="http://schemas.openxmlformats.org/officeDocument/2006/relationships/settings" Target="/word/settings.xml" Id="R7b4144dbb76245f8" /><Relationship Type="http://schemas.openxmlformats.org/officeDocument/2006/relationships/styles" Target="/word/styles.xml" Id="Rab39a0270da94c51" /><Relationship Type="http://schemas.openxmlformats.org/officeDocument/2006/relationships/hyperlink" Target="https://meteor.aihw.gov.au/RegistrationAuthority/18" TargetMode="External" Id="R60ac3934332849d3" /><Relationship Type="http://schemas.openxmlformats.org/officeDocument/2006/relationships/hyperlink" Target="https://meteor.aihw.gov.au/content/745804" TargetMode="External" Id="R48e549acd90b4741" /><Relationship Type="http://schemas.openxmlformats.org/officeDocument/2006/relationships/hyperlink" Target="https://meteor.aihw.gov.au/RegistrationAuthority/18" TargetMode="External" Id="Rb8906fcd3fa34e16" /><Relationship Type="http://schemas.openxmlformats.org/officeDocument/2006/relationships/hyperlink" Target="https://www.safetyandquality.gov.au/publications-and-resources/resource-library/hospital-acquired-complications-hacs-list-specifications-version-31" TargetMode="External" Id="Re48c2bb7961b456a" /></Relationships>
</file>

<file path=word/_rels/header1.xml.rels>&#65279;<?xml version="1.0" encoding="utf-8"?><Relationships xmlns="http://schemas.openxmlformats.org/package/2006/relationships"><Relationship Type="http://schemas.openxmlformats.org/officeDocument/2006/relationships/image" Target="/media/image.png" Id="Re75010c2c1ae4508" /></Relationships>
</file>