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a3f0555d804241"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a locally approved policy to ensure interventions are implemented to prevent delirium for at-risk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a locally approved policy to ensure interventions are implemented to prevent delirium for at-risk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2a-Evidence of a locally approved policy to ensure interventions are implemented to prevent delirium for at-risk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7bf8b90ad24cea">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3bbd521977429e">
              <w:r>
                <w:rPr>
                  <w:rStyle w:val="Hyperlink"/>
                </w:rPr>
                <w:t xml:space="preserve">Clinical care standard indicators: delirium 2021</w:t>
              </w:r>
            </w:hyperlink>
          </w:p>
          <w:p>
            <w:pPr>
              <w:spacing w:before="0" w:after="0"/>
            </w:pPr>
            <w:r>
              <w:rPr>
                <w:rStyle w:val="row-content"/>
                <w:color w:val="244061"/>
              </w:rPr>
              <w:t xml:space="preserve">       </w:t>
            </w:r>
            <w:hyperlink w:history="true" r:id="Ref38695d9f5f42ea">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 </w:t>
            </w:r>
          </w:p>
          <w:p>
            <w:pPr>
              <w:pStyle w:val="ListParagraph"/>
              <w:numPr>
                <w:ilvl w:val="0"/>
                <w:numId w:val="2"/>
              </w:numPr>
            </w:pPr>
            <w:r>
              <w:rPr>
                <w:rStyle w:val="row-content-rich-text"/>
              </w:rPr>
              <w:t xml:space="preserve">​Interventions available, and the patient groups and settings where they are appropriate </w:t>
            </w:r>
          </w:p>
          <w:p>
            <w:pPr>
              <w:pStyle w:val="ListParagraph"/>
              <w:numPr>
                <w:ilvl w:val="0"/>
                <w:numId w:val="2"/>
              </w:numPr>
            </w:pPr>
            <w:r>
              <w:rPr>
                <w:rStyle w:val="row-content-rich-text"/>
              </w:rPr>
              <w:t xml:space="preserve">Process to partner with patients and carers or families to select and implement interventions</w:t>
            </w:r>
          </w:p>
          <w:p>
            <w:pPr>
              <w:pStyle w:val="ListParagraph"/>
              <w:numPr>
                <w:ilvl w:val="0"/>
                <w:numId w:val="2"/>
              </w:numPr>
            </w:pPr>
            <w:r>
              <w:rPr>
                <w:rStyle w:val="row-content-rich-text"/>
              </w:rPr>
              <w:t xml:space="preserve">Process to monitor changes in behaviour, cognition, and physical condition</w:t>
            </w:r>
          </w:p>
          <w:p>
            <w:pPr>
              <w:pStyle w:val="ListParagraph"/>
              <w:numPr>
                <w:ilvl w:val="0"/>
                <w:numId w:val="2"/>
              </w:numPr>
            </w:pPr>
            <w:r>
              <w:rPr>
                <w:rStyle w:val="row-content-rich-text"/>
              </w:rPr>
              <w:t xml:space="preserve">Process to ensure clinicians are trained and competent in providing the interventions, and</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cc4e3850bd9c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3a6ecfa76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e3850bd9c409f" /><Relationship Type="http://schemas.openxmlformats.org/officeDocument/2006/relationships/header" Target="/word/header1.xml" Id="R30c960f78fde49fd" /><Relationship Type="http://schemas.openxmlformats.org/officeDocument/2006/relationships/settings" Target="/word/settings.xml" Id="Rb07b3da4e2b14b35" /><Relationship Type="http://schemas.openxmlformats.org/officeDocument/2006/relationships/styles" Target="/word/styles.xml" Id="Rf5991a8b51f245b4" /><Relationship Type="http://schemas.openxmlformats.org/officeDocument/2006/relationships/hyperlink" Target="https://meteor.aihw.gov.au/RegistrationAuthority/18" TargetMode="External" Id="R187bf8b90ad24cea" /><Relationship Type="http://schemas.openxmlformats.org/officeDocument/2006/relationships/hyperlink" Target="https://meteor.aihw.gov.au/content/745804" TargetMode="External" Id="R853bbd521977429e" /><Relationship Type="http://schemas.openxmlformats.org/officeDocument/2006/relationships/hyperlink" Target="https://meteor.aihw.gov.au/RegistrationAuthority/18" TargetMode="External" Id="Ref38695d9f5f42ea" /><Relationship Type="http://schemas.openxmlformats.org/officeDocument/2006/relationships/numbering" Target="/word/numbering.xml" Id="R521e535ad66e4669" /></Relationships>
</file>

<file path=word/_rels/header1.xml.rels>&#65279;<?xml version="1.0" encoding="utf-8"?><Relationships xmlns="http://schemas.openxmlformats.org/package/2006/relationships"><Relationship Type="http://schemas.openxmlformats.org/officeDocument/2006/relationships/image" Target="/media/image.png" Id="Ref73a6ecfa764e18" /></Relationships>
</file>