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06c6f298841d9" /></Relationships>
</file>

<file path=word/document.xml><?xml version="1.0" encoding="utf-8"?>
<w:document xmlns:r="http://schemas.openxmlformats.org/officeDocument/2006/relationships" xmlns:w="http://schemas.openxmlformats.org/wordprocessingml/2006/main">
  <w:body>
    <w:p>
      <w:pPr>
        <w:pStyle w:val="Title"/>
      </w:pPr>
      <w:r>
        <w:t>Dementia residential setting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residential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e4f94b3e941a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person </w:t>
            </w:r>
            <w:hyperlink w:tooltip="A diagnosis is the decision reached, after assessment, of the nature and identity of the disease or condition of a patient or recipient of residential care (resident)." w:history="true" r:id="R1f9976cba0db40af">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439cf6d1b31942ca">
              <w:r>
                <w:rPr>
                  <w:rStyle w:val="Hyperlink"/>
                  <w:b/>
                </w:rPr>
                <w:t xml:space="preserve">dementia</w:t>
              </w:r>
            </w:hyperlink>
            <w:r>
              <w:rPr>
                <w:rStyle w:val="row-content-rich-text"/>
              </w:rPr>
              <w:t xml:space="preserve"> usually lives.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Independent living 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Supported accommodation facility (including hostels, supported residential services and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None/homeless/public 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Private residence</w:t>
            </w:r>
          </w:p>
          <w:p>
            <w:pPr>
              <w:spacing w:after="160"/>
            </w:pPr>
            <w:r>
              <w:rPr>
                <w:rStyle w:val="row-content-rich-text"/>
              </w:rPr>
              <w:t xml:space="preserve">The person lives in a private residence such as a house, flat, unit, caravan or mobile home. Includes dwellings that are owned, being purchased or being rented privately, publicly or through a community organisation. Excludes independent living in a retirement village (code as CODE 03 ‘Independent living in a retirement village’).</w:t>
            </w:r>
          </w:p>
          <w:p>
            <w:pPr>
              <w:spacing w:after="160"/>
            </w:pPr>
            <w:r>
              <w:rPr>
                <w:rStyle w:val="row-content-rich-text"/>
              </w:rPr>
              <w:t xml:space="preserve">CODE 02     Residential aged care facility</w:t>
            </w:r>
          </w:p>
          <w:p>
            <w:pPr>
              <w:spacing w:after="160"/>
            </w:pPr>
            <w:r>
              <w:rPr>
                <w:rStyle w:val="row-content-rich-text"/>
              </w:rPr>
              <w:t xml:space="preserve">The person lives in a residential aged care facility such as a nursing home or aged care hostel. Includes transition care provided in a residential aged care facility, multi-purpose services ( such as funded aged care beds in acute care hospitals), residential aged care provided in a retirement village, Indigenous-specific aged care and other residential aged care services where people are living long-term.</w:t>
            </w:r>
          </w:p>
          <w:p>
            <w:pPr>
              <w:spacing w:after="160"/>
            </w:pPr>
            <w:r>
              <w:rPr>
                <w:rStyle w:val="row-content-rich-text"/>
              </w:rPr>
              <w:t xml:space="preserve">CODE 03     Independent living in a retirement village</w:t>
            </w:r>
          </w:p>
          <w:p>
            <w:pPr>
              <w:spacing w:after="160"/>
            </w:pPr>
            <w:r>
              <w:rPr>
                <w:rStyle w:val="row-content-rich-text"/>
              </w:rPr>
              <w:t xml:space="preserve">The person lives in an independent living unit within a retirement village. Excludes residential aged care provided in retirement villages (code as CODE 02 ‘Residential aged care facility’).</w:t>
            </w:r>
          </w:p>
          <w:p>
            <w:pPr>
              <w:spacing w:after="160"/>
            </w:pPr>
            <w:r>
              <w:rPr>
                <w:rStyle w:val="row-content-rich-text"/>
              </w:rPr>
              <w:t xml:space="preserve">CODE 04     Hospital</w:t>
            </w:r>
          </w:p>
          <w:p>
            <w:pPr>
              <w:spacing w:after="160"/>
            </w:pPr>
            <w:r>
              <w:rPr>
                <w:rStyle w:val="row-content-rich-text"/>
              </w:rPr>
              <w:t xml:space="preserve">The person lives in a hospital (including acute care, rehabilitation, and psychiatric hospitals). Excludes funded aged care beds in acute care hospitals (include in CODE 02 Residential aged care facility).</w:t>
            </w:r>
          </w:p>
          <w:p>
            <w:pPr>
              <w:spacing w:after="160"/>
            </w:pPr>
            <w:r>
              <w:rPr>
                <w:rStyle w:val="row-content-rich-text"/>
              </w:rPr>
              <w:t xml:space="preserve">CODE 05     Supported accommodation facility (including hostels, supported residential services and group homes)</w:t>
            </w:r>
          </w:p>
          <w:p>
            <w:pPr>
              <w:spacing w:after="160"/>
            </w:pPr>
            <w:r>
              <w:rPr>
                <w:rStyle w:val="row-content-rich-text"/>
              </w:rPr>
              <w:t xml:space="preserve">The person lives in a supported accommodation facility that provides support services to residents. Includes larger facilities where rostered staff provide supervision and care on a 24-hour basis, and domestic-scale facilities where staff or volunteers provide either 24-hour care or less intensive support to a smaller number of people. Excludes aged care hostels (code as CODE 02 ‘Residential aged care facility’).</w:t>
            </w:r>
          </w:p>
          <w:p>
            <w:pPr>
              <w:spacing w:after="160"/>
            </w:pPr>
            <w:r>
              <w:rPr>
                <w:rStyle w:val="row-content-rich-text"/>
              </w:rPr>
              <w:t xml:space="preserve">CODE 06     Other institutional care</w:t>
            </w:r>
          </w:p>
          <w:p>
            <w:pPr>
              <w:spacing w:after="160"/>
            </w:pPr>
            <w:r>
              <w:rPr>
                <w:rStyle w:val="row-content-rich-text"/>
              </w:rPr>
              <w:t xml:space="preserve">The person lives in another institutional care setting. Includes transition care not provided in a residential aged care facility.</w:t>
            </w:r>
          </w:p>
          <w:p>
            <w:pPr>
              <w:spacing w:after="160"/>
            </w:pPr>
            <w:r>
              <w:rPr>
                <w:rStyle w:val="row-content-rich-text"/>
              </w:rPr>
              <w:t xml:space="preserve">CODE 07     None/homeless/public space</w:t>
            </w:r>
          </w:p>
          <w:p>
            <w:pPr>
              <w:spacing w:after="160"/>
            </w:pPr>
            <w:r>
              <w:rPr>
                <w:rStyle w:val="row-content-rich-text"/>
              </w:rPr>
              <w:t xml:space="preserve">Includes public places such as streets and parks, as well as temporary shelters such as bus shelters or camps or other settings where the person would be considered to be living rough or homeless.</w:t>
            </w:r>
          </w:p>
          <w:p>
            <w:pPr>
              <w:spacing w:after="160"/>
            </w:pPr>
            <w:r>
              <w:rPr>
                <w:rStyle w:val="row-content-rich-text"/>
              </w:rPr>
              <w:t xml:space="preserve">CODE 10     Other setting</w:t>
            </w:r>
          </w:p>
          <w:p>
            <w:pPr>
              <w:spacing w:after="160"/>
            </w:pPr>
            <w:r>
              <w:rPr>
                <w:rStyle w:val="row-content-rich-text"/>
              </w:rPr>
              <w:t xml:space="preserve">The person lives in a setting not described by CODE 01–CODE 07.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10, or information is unclear or unavailable.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e6959bc05a4ba9">
              <w:r>
                <w:rPr>
                  <w:rStyle w:val="Hyperlink"/>
                </w:rPr>
                <w:t xml:space="preserve">Person—residential setting, dementia code NN</w:t>
              </w:r>
            </w:hyperlink>
          </w:p>
          <w:p>
            <w:pPr>
              <w:spacing w:before="0" w:after="0"/>
            </w:pPr>
            <w:r>
              <w:rPr>
                <w:rStyle w:val="row-content"/>
                <w:color w:val="244061"/>
              </w:rPr>
              <w:t xml:space="preserve">       </w:t>
            </w:r>
            <w:hyperlink w:history="true" r:id="R9c2d15a59c7d43ab">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a70648960f17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ec0d793f8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648960f1748a0" /><Relationship Type="http://schemas.openxmlformats.org/officeDocument/2006/relationships/header" Target="/word/header1.xml" Id="R2ac80f5a1bf740cb" /><Relationship Type="http://schemas.openxmlformats.org/officeDocument/2006/relationships/settings" Target="/word/settings.xml" Id="Re3291e6dbfbe47ee" /><Relationship Type="http://schemas.openxmlformats.org/officeDocument/2006/relationships/styles" Target="/word/styles.xml" Id="Rb7c7c6fed4654d55" /><Relationship Type="http://schemas.openxmlformats.org/officeDocument/2006/relationships/hyperlink" Target="https://meteor.aihw.gov.au/RegistrationAuthority/12" TargetMode="External" Id="Rc1ae4f94b3e941a1" /><Relationship Type="http://schemas.openxmlformats.org/officeDocument/2006/relationships/hyperlink" Target="https://meteor.aihw.gov.au/content/327224" TargetMode="External" Id="R1f9976cba0db40af" /><Relationship Type="http://schemas.openxmlformats.org/officeDocument/2006/relationships/hyperlink" Target="https://meteor.aihw.gov.au/content/737874" TargetMode="External" Id="R439cf6d1b31942ca" /><Relationship Type="http://schemas.openxmlformats.org/officeDocument/2006/relationships/hyperlink" Target="https://meteor.aihw.gov.au/content/745637" TargetMode="External" Id="Re5e6959bc05a4ba9" /><Relationship Type="http://schemas.openxmlformats.org/officeDocument/2006/relationships/hyperlink" Target="https://meteor.aihw.gov.au/RegistrationAuthority/12" TargetMode="External" Id="R9c2d15a59c7d43ab" /></Relationships>
</file>

<file path=word/_rels/header1.xml.rels>&#65279;<?xml version="1.0" encoding="utf-8"?><Relationships xmlns="http://schemas.openxmlformats.org/package/2006/relationships"><Relationship Type="http://schemas.openxmlformats.org/officeDocument/2006/relationships/image" Target="/media/image.png" Id="Rf83ec0d793f84391" /></Relationships>
</file>