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241f8837574895" /></Relationships>
</file>

<file path=word/document.xml><?xml version="1.0" encoding="utf-8"?>
<w:document xmlns:r="http://schemas.openxmlformats.org/officeDocument/2006/relationships" xmlns:w="http://schemas.openxmlformats.org/wordprocessingml/2006/main">
  <w:body>
    <w:p>
      <w:pPr>
        <w:pStyle w:val="Title"/>
      </w:pPr>
      <w:r>
        <w:t>Acute Anaphylaxis Clinical Care Standard: 6c-Proportion of patients treated for anaphylaxis who require adrenaline injectors who are supplied or prescribed an adrenaline injector prior to separation from hospital.</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Anaphylaxis Clinical Care Standard: 6c-Proportion of patients treated for anaphylaxis who require adrenaline injectors who are supplied or prescribed an adrenaline injector prior to separation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6c-Proportion of patients treated for anaphylaxis who require adrenaline injectors who are supplied or prescribed an adrenaline injector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8e0af8e704775">
              <w:r>
                <w:rPr>
                  <w:rStyle w:val="Hyperlink"/>
                  <w:color w:val="244061"/>
                </w:rPr>
                <w:t xml:space="preserve">Australian Commission on Safety and Quality in Health Care</w:t>
              </w:r>
            </w:hyperlink>
            <w:r>
              <w:rPr>
                <w:rStyle w:val="row-content"/>
                <w:color w:val="244061"/>
              </w:rPr>
              <w:t xml:space="preserve">, Standard 24/11/2021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treated for anaphylaxis who require adrenaline injectors who are supplied or prescribed an adrenaline injector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76d29e717649a1">
              <w:r>
                <w:rPr>
                  <w:rStyle w:val="Hyperlink"/>
                </w:rPr>
                <w:t xml:space="preserve">Clinical care standard indicators: Acute Anaphylaxis  </w:t>
              </w:r>
            </w:hyperlink>
          </w:p>
          <w:p>
            <w:pPr>
              <w:spacing w:before="0" w:after="0"/>
            </w:pPr>
            <w:r>
              <w:rPr>
                <w:rStyle w:val="row-content"/>
                <w:color w:val="244061"/>
              </w:rPr>
              <w:t xml:space="preserve">       </w:t>
            </w:r>
            <w:hyperlink w:history="true" r:id="R73cb7aeb4fac4a02">
              <w:r>
                <w:rPr>
                  <w:rStyle w:val="Hyperlink"/>
                  <w:color w:val="244061"/>
                </w:rPr>
                <w:t xml:space="preserve">Australian Commission on Safety and Quality in Health Care</w:t>
              </w:r>
            </w:hyperlink>
            <w:r>
              <w:rPr>
                <w:rStyle w:val="row-content"/>
                <w:color w:val="244061"/>
              </w:rPr>
              <w:t xml:space="preserve">, Standard 24/11/2021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separations involving patients with anaphylaxis in hospital settings can be identified using the ICD codes specified in Table A.</w:t>
            </w:r>
          </w:p>
          <w:p>
            <w:pPr>
              <w:spacing w:after="160"/>
            </w:pPr>
            <w:r>
              <w:rPr>
                <w:rStyle w:val="row-content-rich-text"/>
                <w:b/>
              </w:rPr>
              <w:t xml:space="preserve">Table A: ICD-10-AM 11</w:t>
            </w:r>
            <w:r>
              <w:rPr>
                <w:rStyle w:val="row-content-rich-text"/>
                <w:b/>
                <w:vertAlign w:val="superscript"/>
              </w:rPr>
              <w:t xml:space="preserve">th</w:t>
            </w:r>
            <w:r>
              <w:rPr>
                <w:rStyle w:val="row-content-rich-text"/>
                <w:b/>
              </w:rPr>
              <w:t xml:space="preserve"> edition codes for anaphylaxis</w:t>
            </w:r>
          </w:p>
          <w:tbl>
            <w:tblPr>
              <w:tblStyle w:val="TableGrid"/>
              <w:tblW w:w="5000" w:type="pct"/>
              <w:tblLayout w:type="autofit"/>
            </w:tblPr>
            <w:tblGrid>
              <w:gridCol/>
              <w:gridCol/>
            </w:tblGrid>
            <w:tr>
              <w:trPr/>
              <w:tc>
                <w:tcPr>
                  <w:tcW w:w="1000" w:type="pct"/>
                  <w:vAlign w:val="top"/>
                </w:tcPr>
                <w:p>
                  <w:pPr/>
                  <w:r>
                    <w:rPr>
                      <w:rStyle w:val="row-content-rich-text"/>
                      <w:b/>
                    </w:rPr>
                    <w:t xml:space="preserve">Code</w:t>
                  </w:r>
                </w:p>
              </w:tc>
              <w:tc>
                <w:tcPr>
                  <w:tcW w:w="4000" w:type="pct"/>
                  <w:vAlign w:val="top"/>
                </w:tcPr>
                <w:p>
                  <w:r>
                    <w:rPr>
                      <w:b/>
                    </w:rPr>
                    <w:t xml:space="preserve">Description</w:t>
                  </w:r>
                </w:p>
              </w:tc>
            </w:tr>
            <w:tr>
              <w:trPr/>
              <w:tc>
                <w:tcPr>
                  <w:tcW w:w="1000" w:type="pct"/>
                  <w:vAlign w:val="top"/>
                </w:tcPr>
                <w:p>
                  <w:r>
                    <w:t xml:space="preserve">T78.0</w:t>
                  </w:r>
                </w:p>
              </w:tc>
              <w:tc>
                <w:tcPr>
                  <w:tcW w:w="4000" w:type="pct"/>
                  <w:vAlign w:val="top"/>
                </w:tcPr>
                <w:p>
                  <w:r>
                    <w:t xml:space="preserve">Anaphylaxis and anaphylactic shock due to adverse food reaction</w:t>
                  </w:r>
                </w:p>
              </w:tc>
            </w:tr>
            <w:tr>
              <w:trPr/>
              <w:tc>
                <w:tcPr>
                  <w:tcW w:w="1000" w:type="pct"/>
                  <w:vAlign w:val="top"/>
                </w:tcPr>
                <w:p>
                  <w:r>
                    <w:t xml:space="preserve">T78.2</w:t>
                  </w:r>
                </w:p>
              </w:tc>
              <w:tc>
                <w:tcPr>
                  <w:tcW w:w="4000" w:type="pct"/>
                  <w:vAlign w:val="top"/>
                </w:tcPr>
                <w:p>
                  <w:r>
                    <w:t xml:space="preserve">Anaphylaxis and anaphylactic shock, unspecified</w:t>
                  </w:r>
                </w:p>
              </w:tc>
            </w:tr>
            <w:tr>
              <w:trPr/>
              <w:tc>
                <w:tcPr>
                  <w:tcW w:w="1000" w:type="pct"/>
                  <w:vAlign w:val="top"/>
                </w:tcPr>
                <w:p>
                  <w:r>
                    <w:t xml:space="preserve">T80.5</w:t>
                  </w:r>
                </w:p>
              </w:tc>
              <w:tc>
                <w:tcPr>
                  <w:tcW w:w="4000" w:type="pct"/>
                  <w:vAlign w:val="top"/>
                </w:tcPr>
                <w:p>
                  <w:r>
                    <w:t xml:space="preserve">Anaphylaxis and anaphylactic shock due to serum</w:t>
                  </w:r>
                </w:p>
              </w:tc>
            </w:tr>
            <w:tr>
              <w:trPr/>
              <w:tc>
                <w:tcPr>
                  <w:tcW w:w="1000" w:type="pct"/>
                  <w:vAlign w:val="top"/>
                </w:tcPr>
                <w:p>
                  <w:r>
                    <w:t xml:space="preserve">T88.6</w:t>
                  </w:r>
                </w:p>
              </w:tc>
              <w:tc>
                <w:tcPr>
                  <w:tcW w:w="4000" w:type="pct"/>
                  <w:vAlign w:val="top"/>
                </w:tcPr>
                <w:p>
                  <w:r>
                    <w:t xml:space="preserve">Anaphylaxis and anaphylactic shock due to adverse effect of correct drug or medicament properly administered</w:t>
                  </w:r>
                </w:p>
              </w:tc>
            </w:tr>
          </w:tbl>
          <w:p>
            <w:r>
              <w:t xml:space="preserve"> </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treated for anaphylaxis who require adrenaline injectors who are supplied or prescribed an adrenaline injector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treated for anaphylaxis who require an adrenaline injector.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should be given a personal adrenaline injector or a prescription for this medicine where there is a risk of re-exposure to the allergen.</w:t>
            </w:r>
          </w:p>
          <w:p>
            <w:pPr>
              <w:spacing w:after="160"/>
            </w:pPr>
            <w:r>
              <w:rPr>
                <w:rStyle w:val="row-content-rich-text"/>
              </w:rPr>
              <w:t xml:space="preserve">Use of adrenaline injector is typically recommended for patients with:</w:t>
            </w:r>
          </w:p>
          <w:p>
            <w:pPr>
              <w:pStyle w:val="ListParagraph"/>
              <w:numPr>
                <w:ilvl w:val="0"/>
                <w:numId w:val="2"/>
              </w:numPr>
            </w:pPr>
            <w:r>
              <w:rPr>
                <w:rStyle w:val="row-content-rich-text"/>
              </w:rPr>
              <w:t xml:space="preserve">History of anaphylaxis</w:t>
            </w:r>
          </w:p>
          <w:p>
            <w:pPr>
              <w:pStyle w:val="ListParagraph"/>
              <w:numPr>
                <w:ilvl w:val="0"/>
                <w:numId w:val="2"/>
              </w:numPr>
            </w:pPr>
            <w:r>
              <w:rPr>
                <w:rStyle w:val="row-content-rich-text"/>
              </w:rPr>
              <w:t xml:space="preserve">Food allergy (excluding oral allergy syndrome) and co-existing unstable or moderate to severe, persistent asthma</w:t>
            </w:r>
          </w:p>
          <w:p>
            <w:pPr>
              <w:pStyle w:val="ListParagraph"/>
              <w:numPr>
                <w:ilvl w:val="0"/>
                <w:numId w:val="2"/>
              </w:numPr>
            </w:pPr>
            <w:r>
              <w:rPr>
                <w:rStyle w:val="row-content-rich-text"/>
              </w:rPr>
              <w:t xml:space="preserve">Underlying mast cell disorders.</w:t>
            </w:r>
          </w:p>
          <w:p>
            <w:pPr/>
            <w:r>
              <w:rPr>
                <w:rStyle w:val="row-content-rich-text"/>
              </w:rPr>
              <w:t xml:space="preserve">For a comprehensive list of considerations to identify patients for whom use of adrenalin injectors are appropriate, please refer to the </w:t>
            </w:r>
            <w:hyperlink w:history="true" r:id="R093ef1a2d4464163">
              <w:r>
                <w:rPr>
                  <w:rStyle w:val="Hyperlink"/>
                </w:rPr>
                <w:t xml:space="preserve">ASCIA Guidelines - Adrenaline (Epinephrine) Autoinjector Prescription.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Acute Anaphylaxis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b961f115eb8e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745157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dfec180ce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1f115eb8e49de" /><Relationship Type="http://schemas.openxmlformats.org/officeDocument/2006/relationships/header" Target="/word/header1.xml" Id="R1715197b312042d7" /><Relationship Type="http://schemas.openxmlformats.org/officeDocument/2006/relationships/settings" Target="/word/settings.xml" Id="R17160af97b544a43" /><Relationship Type="http://schemas.openxmlformats.org/officeDocument/2006/relationships/styles" Target="/word/styles.xml" Id="Rc505065c07d940ad" /><Relationship Type="http://schemas.openxmlformats.org/officeDocument/2006/relationships/hyperlink" Target="https://meteor.aihw.gov.au/RegistrationAuthority/18" TargetMode="External" Id="Rf8e8e0af8e704775" /><Relationship Type="http://schemas.openxmlformats.org/officeDocument/2006/relationships/hyperlink" Target="https://meteor.aihw.gov.au/content/745144" TargetMode="External" Id="R0576d29e717649a1" /><Relationship Type="http://schemas.openxmlformats.org/officeDocument/2006/relationships/hyperlink" Target="https://meteor.aihw.gov.au/RegistrationAuthority/18" TargetMode="External" Id="R73cb7aeb4fac4a02" /><Relationship Type="http://schemas.openxmlformats.org/officeDocument/2006/relationships/numbering" Target="/word/numbering.xml" Id="R3016e6a605044e49" /><Relationship Type="http://schemas.openxmlformats.org/officeDocument/2006/relationships/hyperlink" Target="https://www.allergy.org.au/images/stories/anaphylaxis/2016/ASCIA_Guidelines_AAI_Prescription_2019.pdf" TargetMode="External" Id="R093ef1a2d4464163" /></Relationships>
</file>

<file path=word/_rels/header1.xml.rels>&#65279;<?xml version="1.0" encoding="utf-8"?><Relationships xmlns="http://schemas.openxmlformats.org/package/2006/relationships"><Relationship Type="http://schemas.openxmlformats.org/officeDocument/2006/relationships/image" Target="/media/image.png" Id="Rce6dfec180ce4944" /></Relationships>
</file>