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7097be89d64b71" /></Relationships>
</file>

<file path=word/document.xml><?xml version="1.0" encoding="utf-8"?>
<w:document xmlns:r="http://schemas.openxmlformats.org/officeDocument/2006/relationships" xmlns:w="http://schemas.openxmlformats.org/wordprocessingml/2006/main">
  <w:body>
    <w:p>
      <w:pPr>
        <w:pStyle w:val="Title"/>
      </w:pPr>
      <w:r>
        <w:t>Acute Anaphylaxis Clinical Care Standard: 02-Proportion of patients with anaphylaxis treated with intramuscular adrenaline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Anaphylaxis Clinical Care Standard: 02-Proportion of patients with anaphylaxis treated with intramuscular adrenaline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2-Proportion of patients with anaphylaxis treated with intramuscular adrenaline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f02a5e56774f87">
              <w:r>
                <w:rPr>
                  <w:rStyle w:val="Hyperlink"/>
                  <w:color w:val="244061"/>
                </w:rPr>
                <w:t xml:space="preserve">Australian Commission on Safety and Quality in Health Care</w:t>
              </w:r>
            </w:hyperlink>
            <w:r>
              <w:rPr>
                <w:rStyle w:val="row-content"/>
                <w:color w:val="244061"/>
              </w:rPr>
              <w:t xml:space="preserve">, Standard 24/11/2021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with anaphylaxis treated with intramuscular adrenaline.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671c7745e734463">
              <w:r>
                <w:rPr>
                  <w:rStyle w:val="Hyperlink"/>
                </w:rPr>
                <w:t xml:space="preserve">Clinical care standard indicators: Acute Anaphylaxis  </w:t>
              </w:r>
            </w:hyperlink>
          </w:p>
          <w:p>
            <w:pPr>
              <w:spacing w:before="0" w:after="0"/>
            </w:pPr>
            <w:r>
              <w:rPr>
                <w:rStyle w:val="row-content"/>
                <w:color w:val="244061"/>
              </w:rPr>
              <w:t xml:space="preserve">       </w:t>
            </w:r>
            <w:hyperlink w:history="true" r:id="R7d41bb735506456b">
              <w:r>
                <w:rPr>
                  <w:rStyle w:val="Hyperlink"/>
                  <w:color w:val="244061"/>
                </w:rPr>
                <w:t xml:space="preserve">Australian Commission on Safety and Quality in Health Care</w:t>
              </w:r>
            </w:hyperlink>
            <w:r>
              <w:rPr>
                <w:rStyle w:val="row-content"/>
                <w:color w:val="244061"/>
              </w:rPr>
              <w:t xml:space="preserve">, Standard 24/11/2021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and denominator separations involving patients with anaphylaxis in hospital settings can be identified using the ICD codes specified in Table A.</w:t>
            </w:r>
          </w:p>
          <w:p>
            <w:pPr>
              <w:spacing w:after="160"/>
            </w:pPr>
            <w:r>
              <w:rPr>
                <w:rStyle w:val="row-content-rich-text"/>
                <w:b/>
              </w:rPr>
              <w:t xml:space="preserve">Table A: ICD-10-AM 11</w:t>
            </w:r>
            <w:r>
              <w:rPr>
                <w:rStyle w:val="row-content-rich-text"/>
                <w:b/>
                <w:vertAlign w:val="superscript"/>
              </w:rPr>
              <w:t xml:space="preserve">th</w:t>
            </w:r>
            <w:r>
              <w:rPr>
                <w:rStyle w:val="row-content-rich-text"/>
                <w:b/>
              </w:rPr>
              <w:t xml:space="preserve"> edition codes for anaphylaxis</w:t>
            </w:r>
          </w:p>
          <w:tbl>
            <w:tblPr>
              <w:tblStyle w:val="TableGrid"/>
              <w:tblW w:w="5000" w:type="pct"/>
              <w:tblLayout w:type="autofit"/>
            </w:tblPr>
            <w:tblGrid>
              <w:gridCol/>
              <w:gridCol/>
            </w:tblGrid>
            <w:tr>
              <w:trPr/>
              <w:tc>
                <w:tcPr>
                  <w:tcW w:w="1000" w:type="pct"/>
                  <w:vAlign w:val="top"/>
                </w:tcPr>
                <w:p>
                  <w:pPr/>
                  <w:r>
                    <w:rPr>
                      <w:rStyle w:val="row-content-rich-text"/>
                      <w:b/>
                    </w:rPr>
                    <w:t xml:space="preserve">Code</w:t>
                  </w:r>
                </w:p>
              </w:tc>
              <w:tc>
                <w:tcPr>
                  <w:tcW w:w="4000" w:type="pct"/>
                  <w:vAlign w:val="top"/>
                </w:tcPr>
                <w:p>
                  <w:r>
                    <w:rPr>
                      <w:b/>
                    </w:rPr>
                    <w:t xml:space="preserve">Description</w:t>
                  </w:r>
                </w:p>
              </w:tc>
            </w:tr>
            <w:tr>
              <w:trPr/>
              <w:tc>
                <w:tcPr>
                  <w:tcW w:w="1000" w:type="pct"/>
                  <w:vAlign w:val="top"/>
                </w:tcPr>
                <w:p>
                  <w:r>
                    <w:t xml:space="preserve">T78.0</w:t>
                  </w:r>
                </w:p>
              </w:tc>
              <w:tc>
                <w:tcPr>
                  <w:tcW w:w="4000" w:type="pct"/>
                  <w:vAlign w:val="top"/>
                </w:tcPr>
                <w:p>
                  <w:r>
                    <w:t xml:space="preserve">Anaphylaxis and anaphylactic shock due to adverse food reaction</w:t>
                  </w:r>
                </w:p>
              </w:tc>
            </w:tr>
            <w:tr>
              <w:trPr/>
              <w:tc>
                <w:tcPr>
                  <w:tcW w:w="1000" w:type="pct"/>
                  <w:vAlign w:val="top"/>
                </w:tcPr>
                <w:p>
                  <w:r>
                    <w:t xml:space="preserve">T78.2</w:t>
                  </w:r>
                </w:p>
              </w:tc>
              <w:tc>
                <w:tcPr>
                  <w:tcW w:w="4000" w:type="pct"/>
                  <w:vAlign w:val="top"/>
                </w:tcPr>
                <w:p>
                  <w:r>
                    <w:t xml:space="preserve">Anaphylaxis and anaphylactic shock, unspecified</w:t>
                  </w:r>
                </w:p>
              </w:tc>
            </w:tr>
            <w:tr>
              <w:trPr/>
              <w:tc>
                <w:tcPr>
                  <w:tcW w:w="1000" w:type="pct"/>
                  <w:vAlign w:val="top"/>
                </w:tcPr>
                <w:p>
                  <w:r>
                    <w:t xml:space="preserve">T80.5</w:t>
                  </w:r>
                </w:p>
              </w:tc>
              <w:tc>
                <w:tcPr>
                  <w:tcW w:w="4000" w:type="pct"/>
                  <w:vAlign w:val="top"/>
                </w:tcPr>
                <w:p>
                  <w:r>
                    <w:t xml:space="preserve">Anaphylaxis and anaphylactic shock due to serum</w:t>
                  </w:r>
                </w:p>
              </w:tc>
            </w:tr>
            <w:tr>
              <w:trPr/>
              <w:tc>
                <w:tcPr>
                  <w:tcW w:w="1000" w:type="pct"/>
                  <w:vAlign w:val="top"/>
                </w:tcPr>
                <w:p>
                  <w:r>
                    <w:t xml:space="preserve">T88.6</w:t>
                  </w:r>
                </w:p>
              </w:tc>
              <w:tc>
                <w:tcPr>
                  <w:tcW w:w="4000" w:type="pct"/>
                  <w:vAlign w:val="top"/>
                </w:tcPr>
                <w:p>
                  <w:r>
                    <w:t xml:space="preserve">Anaphylaxis and anaphylactic shock due to adverse effect of correct drug or medicament properly administered</w:t>
                  </w:r>
                </w:p>
              </w:tc>
            </w:tr>
          </w:tbl>
          <w:p>
            <w:r>
              <w:t xml:space="preserve"> </w:t>
            </w:r>
          </w:p>
          <w:p>
            <w: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anaphylaxis treated with intramuscular adrenaline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anaphylaxis.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Acute Anaphylaxis Clinical Care Standard does not include the management of anaphylaxis in patients in operating theatres and intensive care units (ICU) where specialised clinical expertise and haemodynamic monitoring are available.</w:t>
            </w:r>
          </w:p>
          <w:p>
            <w:pPr/>
            <w:r>
              <w:rPr>
                <w:rStyle w:val="row-content-rich-text"/>
              </w:rPr>
              <w:t xml:space="preserve">This indicator identifies all patients who were admitted with, or experienced, anaphylaxis during their hospital stay (the denominator). The numerator captures patients treated with intramuscular adrenaline, which may not be the routine administration method of adrenaline in operating theatres and ICUs. This should be considered when interpreting the results from this indicator.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2021. Acute Anaphylaxis clinical care standard. Australian Commission on Safety and Quality in Health Care, Sydney.</w:t>
            </w:r>
          </w:p>
          <w:p>
            <w:pPr/>
            <w:r>
              <w:rPr>
                <w:rStyle w:val="row-content-rich-text"/>
              </w:rPr>
              <w:t xml:space="preserve"> </w:t>
            </w:r>
          </w:p>
        </w:tc>
      </w:tr>
    </w:tbl>
    <w:p>
      <w:r>
        <w:br/>
      </w:r>
    </w:p>
    <w:sectPr>
      <w:footerReference xmlns:r="http://schemas.openxmlformats.org/officeDocument/2006/relationships" w:type="default" r:id="R644387b98e0440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745149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4b52c015b64c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4387b98e044002" /><Relationship Type="http://schemas.openxmlformats.org/officeDocument/2006/relationships/header" Target="/word/header1.xml" Id="R231610e18a6b486e" /><Relationship Type="http://schemas.openxmlformats.org/officeDocument/2006/relationships/settings" Target="/word/settings.xml" Id="Ra18f4ee04fb84c31" /><Relationship Type="http://schemas.openxmlformats.org/officeDocument/2006/relationships/styles" Target="/word/styles.xml" Id="Rd8337e380b874c9c" /><Relationship Type="http://schemas.openxmlformats.org/officeDocument/2006/relationships/hyperlink" Target="https://meteor.aihw.gov.au/RegistrationAuthority/18" TargetMode="External" Id="Rb7f02a5e56774f87" /><Relationship Type="http://schemas.openxmlformats.org/officeDocument/2006/relationships/hyperlink" Target="https://meteor.aihw.gov.au/content/745144" TargetMode="External" Id="R7671c7745e734463" /><Relationship Type="http://schemas.openxmlformats.org/officeDocument/2006/relationships/hyperlink" Target="https://meteor.aihw.gov.au/RegistrationAuthority/18" TargetMode="External" Id="R7d41bb735506456b" /></Relationships>
</file>

<file path=word/_rels/header1.xml.rels>&#65279;<?xml version="1.0" encoding="utf-8"?><Relationships xmlns="http://schemas.openxmlformats.org/package/2006/relationships"><Relationship Type="http://schemas.openxmlformats.org/officeDocument/2006/relationships/image" Target="/media/image.png" Id="Ra44b52c015b64cf1" /></Relationships>
</file>