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e2f042ffd94bde"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a524aa2794daa">
              <w:r>
                <w:rPr>
                  <w:rStyle w:val="Hyperlink"/>
                  <w:color w:val="244061"/>
                </w:rPr>
                <w:t xml:space="preserve">Health</w:t>
              </w:r>
            </w:hyperlink>
            <w:r>
              <w:rPr>
                <w:rStyle w:val="row-content"/>
                <w:color w:val="244061"/>
              </w:rPr>
              <w:t xml:space="preserve">, Standard 17/12/2021</w:t>
            </w:r>
          </w:p>
          <w:p>
            <w:pPr>
              <w:spacing w:before="0" w:after="0"/>
            </w:pPr>
            <w:hyperlink w:history="true" r:id="R16fee91c4e7c4c3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ce22224e5144e0">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0e0b7bccca43d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6ea7e3ef34a144fe">
              <w:r>
                <w:rPr>
                  <w:rStyle w:val="Hyperlink"/>
                </w:rPr>
                <w:t xml:space="preserve">Mental health service contact—session type, code N.</w:t>
              </w:r>
            </w:hyperlink>
          </w:p>
          <w:p>
            <w:pPr/>
            <w:r>
              <w:rPr>
                <w:rStyle w:val="row-content-rich-text"/>
              </w:rPr>
              <w:t xml:space="preserve">Ambulatory non-specialised - This data element can be derived from </w:t>
            </w:r>
            <w:hyperlink w:history="true" r:id="R364d918f5cd444b4">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d215927e5d4308">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15d345e5a9f24cf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66bf9ac1ac5449d">
              <w:r>
                <w:rPr>
                  <w:rStyle w:val="Hyperlink"/>
                </w:rPr>
                <w:t xml:space="preserve">Appointment—group session indicator, yes/no code N</w:t>
              </w:r>
            </w:hyperlink>
          </w:p>
          <w:p>
            <w:pPr>
              <w:spacing w:before="0" w:after="0"/>
            </w:pPr>
            <w:r>
              <w:rPr>
                <w:rStyle w:val="row-content"/>
                <w:color w:val="244061"/>
              </w:rPr>
              <w:t xml:space="preserve">       </w:t>
            </w:r>
            <w:hyperlink w:history="true" r:id="R2219836d558f46a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29fb27b286654a46">
              <w:r>
                <w:rPr>
                  <w:rStyle w:val="Hyperlink"/>
                </w:rPr>
                <w:t xml:space="preserve">Mental health service contact—session type, code N</w:t>
              </w:r>
            </w:hyperlink>
          </w:p>
          <w:p>
            <w:pPr>
              <w:spacing w:before="0" w:after="0"/>
            </w:pPr>
            <w:r>
              <w:rPr>
                <w:rStyle w:val="row-content"/>
                <w:color w:val="244061"/>
              </w:rPr>
              <w:t xml:space="preserve">       </w:t>
            </w:r>
            <w:hyperlink w:history="true" r:id="R4056f8d5ab3e4b1c">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666d8c38365041ec">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73240e389d5247a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e79335fdc1d340af">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23bab90101a544f2">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b1291d7533c344ef">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7fa6bd96c043ae">
              <w:r>
                <w:rPr>
                  <w:rStyle w:val="Hyperlink"/>
                </w:rPr>
                <w:t xml:space="preserve">Activity based funding: Mental health care NBEDS 2022–23</w:t>
              </w:r>
            </w:hyperlink>
          </w:p>
          <w:p>
            <w:pPr>
              <w:spacing w:before="0" w:after="0"/>
            </w:pPr>
            <w:r>
              <w:rPr>
                <w:rStyle w:val="row-content"/>
                <w:color w:val="244061"/>
              </w:rPr>
              <w:t xml:space="preserve">       </w:t>
            </w:r>
            <w:hyperlink w:history="true" r:id="Rdbcac98084394e4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e8b3d3a73b2b4794">
              <w:r>
                <w:rPr>
                  <w:rStyle w:val="Hyperlink"/>
                </w:rPr>
                <w:t xml:space="preserve">Activity based funding: Mental health care NBEDS 2023–24</w:t>
              </w:r>
            </w:hyperlink>
          </w:p>
          <w:p>
            <w:pPr>
              <w:spacing w:before="0" w:after="0"/>
            </w:pPr>
            <w:r>
              <w:rPr>
                <w:rStyle w:val="row-content"/>
                <w:color w:val="244061"/>
              </w:rPr>
              <w:t xml:space="preserve">       </w:t>
            </w:r>
            <w:hyperlink w:history="true" r:id="Raf6aa666ef9f443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de8ee0cbc6534b56">
              <w:r>
                <w:rPr>
                  <w:rStyle w:val="Hyperlink"/>
                </w:rPr>
                <w:t xml:space="preserve">Activity based funding: Mental health care NBEDS 2024–25</w:t>
              </w:r>
            </w:hyperlink>
          </w:p>
          <w:p>
            <w:pPr>
              <w:spacing w:before="0" w:after="0"/>
            </w:pPr>
            <w:r>
              <w:rPr>
                <w:rStyle w:val="row-content"/>
                <w:color w:val="244061"/>
              </w:rPr>
              <w:t xml:space="preserve">       </w:t>
            </w:r>
            <w:hyperlink w:history="true" r:id="R509497920f474f0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e36c8334aeb1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d463e1299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c8334aeb14697" /><Relationship Type="http://schemas.openxmlformats.org/officeDocument/2006/relationships/header" Target="/word/header1.xml" Id="R5272669b64c64118" /><Relationship Type="http://schemas.openxmlformats.org/officeDocument/2006/relationships/settings" Target="/word/settings.xml" Id="R1b33961a4f574c9e" /><Relationship Type="http://schemas.openxmlformats.org/officeDocument/2006/relationships/styles" Target="/word/styles.xml" Id="R897881f24b9d4c8c" /><Relationship Type="http://schemas.openxmlformats.org/officeDocument/2006/relationships/hyperlink" Target="https://meteor.aihw.gov.au/RegistrationAuthority/12" TargetMode="External" Id="Rbb1a524aa2794daa" /><Relationship Type="http://schemas.openxmlformats.org/officeDocument/2006/relationships/hyperlink" Target="https://meteor.aihw.gov.au/RegistrationAuthority/15" TargetMode="External" Id="R16fee91c4e7c4c37" /><Relationship Type="http://schemas.openxmlformats.org/officeDocument/2006/relationships/hyperlink" Target="https://meteor.aihw.gov.au/content/744357" TargetMode="External" Id="R4ace22224e5144e0" /><Relationship Type="http://schemas.openxmlformats.org/officeDocument/2006/relationships/hyperlink" Target="https://meteor.aihw.gov.au/content/301747" TargetMode="External" Id="R930e0b7bccca43da" /><Relationship Type="http://schemas.openxmlformats.org/officeDocument/2006/relationships/numbering" Target="/word/numbering.xml" Id="R6a0390430fe74bb7" /><Relationship Type="http://schemas.openxmlformats.org/officeDocument/2006/relationships/hyperlink" Target="https://meteor.aihw.gov.au/content/737307" TargetMode="External" Id="R6ea7e3ef34a144fe" /><Relationship Type="http://schemas.openxmlformats.org/officeDocument/2006/relationships/hyperlink" Target="https://meteor.aihw.gov.au/content/730453" TargetMode="External" Id="R364d918f5cd444b4" /><Relationship Type="http://schemas.openxmlformats.org/officeDocument/2006/relationships/hyperlink" Target="https://meteor.aihw.gov.au/content/730836" TargetMode="External" Id="R8ed215927e5d4308" /><Relationship Type="http://schemas.openxmlformats.org/officeDocument/2006/relationships/hyperlink" Target="https://meteor.aihw.gov.au/RegistrationAuthority/12" TargetMode="External" Id="R15d345e5a9f24cfd" /><Relationship Type="http://schemas.openxmlformats.org/officeDocument/2006/relationships/hyperlink" Target="https://meteor.aihw.gov.au/content/571127" TargetMode="External" Id="R166bf9ac1ac5449d" /><Relationship Type="http://schemas.openxmlformats.org/officeDocument/2006/relationships/hyperlink" Target="https://meteor.aihw.gov.au/RegistrationAuthority/2" TargetMode="External" Id="R2219836d558f46a6" /><Relationship Type="http://schemas.openxmlformats.org/officeDocument/2006/relationships/hyperlink" Target="https://meteor.aihw.gov.au/content/737307" TargetMode="External" Id="R29fb27b286654a46" /><Relationship Type="http://schemas.openxmlformats.org/officeDocument/2006/relationships/hyperlink" Target="https://meteor.aihw.gov.au/RegistrationAuthority/12" TargetMode="External" Id="R4056f8d5ab3e4b1c" /><Relationship Type="http://schemas.openxmlformats.org/officeDocument/2006/relationships/hyperlink" Target="https://meteor.aihw.gov.au/content/730453" TargetMode="External" Id="R666d8c38365041ec" /><Relationship Type="http://schemas.openxmlformats.org/officeDocument/2006/relationships/hyperlink" Target="https://meteor.aihw.gov.au/RegistrationAuthority/12" TargetMode="External" Id="R73240e389d5247a5" /><Relationship Type="http://schemas.openxmlformats.org/officeDocument/2006/relationships/hyperlink" Target="https://meteor.aihw.gov.au/RegistrationAuthority/15" TargetMode="External" Id="Re79335fdc1d340af" /><Relationship Type="http://schemas.openxmlformats.org/officeDocument/2006/relationships/hyperlink" Target="https://meteor.aihw.gov.au/content/679499" TargetMode="External" Id="R23bab90101a544f2" /><Relationship Type="http://schemas.openxmlformats.org/officeDocument/2006/relationships/hyperlink" Target="https://meteor.aihw.gov.au/RegistrationAuthority/12" TargetMode="External" Id="Rb1291d7533c344ef" /><Relationship Type="http://schemas.openxmlformats.org/officeDocument/2006/relationships/hyperlink" Target="https://meteor.aihw.gov.au/content/742188" TargetMode="External" Id="Rbd7fa6bd96c043ae" /><Relationship Type="http://schemas.openxmlformats.org/officeDocument/2006/relationships/hyperlink" Target="https://meteor.aihw.gov.au/RegistrationAuthority/12" TargetMode="External" Id="Rdbcac98084394e41" /><Relationship Type="http://schemas.openxmlformats.org/officeDocument/2006/relationships/hyperlink" Target="https://meteor.aihw.gov.au/content/756208" TargetMode="External" Id="Re8b3d3a73b2b4794" /><Relationship Type="http://schemas.openxmlformats.org/officeDocument/2006/relationships/hyperlink" Target="https://meteor.aihw.gov.au/RegistrationAuthority/12" TargetMode="External" Id="Raf6aa666ef9f443c" /><Relationship Type="http://schemas.openxmlformats.org/officeDocument/2006/relationships/hyperlink" Target="https://meteor.aihw.gov.au/content/775778" TargetMode="External" Id="Rde8ee0cbc6534b56" /><Relationship Type="http://schemas.openxmlformats.org/officeDocument/2006/relationships/hyperlink" Target="https://meteor.aihw.gov.au/RegistrationAuthority/12" TargetMode="External" Id="R509497920f474f05" /></Relationships>
</file>

<file path=word/_rels/header1.xml.rels>&#65279;<?xml version="1.0" encoding="utf-8"?><Relationships xmlns="http://schemas.openxmlformats.org/package/2006/relationships"><Relationship Type="http://schemas.openxmlformats.org/officeDocument/2006/relationships/image" Target="/media/image.png" Id="Rc5ad463e1299414c" /></Relationships>
</file>